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1.xml" ContentType="application/vnd.ms-office.drawingml.diagramDrawing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>
    <v:background id="_x0000_s1025" o:bwmode="white" fillcolor="#dbe5f1 [660]">
      <v:fill r:id="rId4" o:title="60%" type="pattern"/>
    </v:background>
  </w:background>
  <w:body>
    <w:p w:rsidR="00757D79" w:rsidRPr="00E15AAE" w:rsidRDefault="009F62E3" w:rsidP="0061527F">
      <w:pPr>
        <w:jc w:val="center"/>
        <w:rPr>
          <w:color w:val="0F243E" w:themeColor="text2" w:themeShade="80"/>
          <w:sz w:val="60"/>
          <w:szCs w:val="60"/>
        </w:rPr>
      </w:pPr>
      <w:r>
        <w:rPr>
          <w:color w:val="0F243E" w:themeColor="text2" w:themeShade="80"/>
          <w:sz w:val="60"/>
          <w:szCs w:val="60"/>
        </w:rPr>
        <w:t>Администрация Горняцкого</w:t>
      </w:r>
      <w:r w:rsidR="00757D79" w:rsidRPr="00E15AAE">
        <w:rPr>
          <w:color w:val="0F243E" w:themeColor="text2" w:themeShade="80"/>
          <w:sz w:val="60"/>
          <w:szCs w:val="60"/>
        </w:rPr>
        <w:t xml:space="preserve"> сельского поселения</w:t>
      </w:r>
    </w:p>
    <w:p w:rsidR="00DC52B1" w:rsidRPr="00757D79" w:rsidRDefault="00DC52B1" w:rsidP="0061527F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2495550" cy="1828800"/>
            <wp:effectExtent l="19050" t="0" r="0" b="0"/>
            <wp:docPr id="3" name="Рисунок 2" descr="wpid-50d64363713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id-50d6436371366[1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054" cy="183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88" w:rsidRPr="00F867EC" w:rsidRDefault="007974E4" w:rsidP="0061527F">
      <w:pPr>
        <w:jc w:val="center"/>
        <w:rPr>
          <w:rFonts w:ascii="Times New Roman" w:hAnsi="Times New Roman" w:cs="Times New Roman"/>
          <w:b/>
          <w:color w:val="00B050"/>
          <w:sz w:val="66"/>
          <w:szCs w:val="66"/>
        </w:rPr>
      </w:pPr>
      <w:r>
        <w:rPr>
          <w:rFonts w:ascii="Times New Roman" w:hAnsi="Times New Roman" w:cs="Times New Roman"/>
          <w:b/>
          <w:color w:val="00B050"/>
          <w:sz w:val="66"/>
          <w:szCs w:val="66"/>
        </w:rPr>
        <w:t xml:space="preserve">Проект </w:t>
      </w:r>
      <w:r w:rsidR="005A5B9C">
        <w:rPr>
          <w:rFonts w:ascii="Times New Roman" w:hAnsi="Times New Roman" w:cs="Times New Roman"/>
          <w:b/>
          <w:color w:val="00B050"/>
          <w:sz w:val="66"/>
          <w:szCs w:val="66"/>
        </w:rPr>
        <w:t>Бюджет</w:t>
      </w:r>
      <w:r>
        <w:rPr>
          <w:rFonts w:ascii="Times New Roman" w:hAnsi="Times New Roman" w:cs="Times New Roman"/>
          <w:b/>
          <w:color w:val="00B050"/>
          <w:sz w:val="66"/>
          <w:szCs w:val="66"/>
        </w:rPr>
        <w:t>а</w:t>
      </w:r>
      <w:r w:rsidR="009F62E3" w:rsidRPr="00F867EC">
        <w:rPr>
          <w:rFonts w:ascii="Times New Roman" w:hAnsi="Times New Roman" w:cs="Times New Roman"/>
          <w:b/>
          <w:color w:val="00B050"/>
          <w:sz w:val="66"/>
          <w:szCs w:val="66"/>
        </w:rPr>
        <w:t xml:space="preserve"> Горняцкого</w:t>
      </w:r>
      <w:r w:rsidR="00942888" w:rsidRPr="00F867EC">
        <w:rPr>
          <w:rFonts w:ascii="Times New Roman" w:hAnsi="Times New Roman" w:cs="Times New Roman"/>
          <w:b/>
          <w:color w:val="00B050"/>
          <w:sz w:val="66"/>
          <w:szCs w:val="66"/>
        </w:rPr>
        <w:t xml:space="preserve"> сельского поселения Белокалитвинского района</w:t>
      </w:r>
    </w:p>
    <w:p w:rsidR="00757D79" w:rsidRPr="00F867EC" w:rsidRDefault="008A6B79" w:rsidP="0061527F">
      <w:pPr>
        <w:jc w:val="center"/>
        <w:rPr>
          <w:rFonts w:ascii="Times New Roman" w:hAnsi="Times New Roman" w:cs="Times New Roman"/>
          <w:b/>
          <w:color w:val="00B050"/>
          <w:sz w:val="66"/>
          <w:szCs w:val="66"/>
        </w:rPr>
      </w:pPr>
      <w:r>
        <w:rPr>
          <w:rFonts w:ascii="Times New Roman" w:hAnsi="Times New Roman" w:cs="Times New Roman"/>
          <w:b/>
          <w:color w:val="00B050"/>
          <w:sz w:val="66"/>
          <w:szCs w:val="66"/>
        </w:rPr>
        <w:t xml:space="preserve"> на 2026 – 2028</w:t>
      </w:r>
      <w:r w:rsidR="00942888" w:rsidRPr="00F867EC">
        <w:rPr>
          <w:rFonts w:ascii="Times New Roman" w:hAnsi="Times New Roman" w:cs="Times New Roman"/>
          <w:b/>
          <w:color w:val="00B050"/>
          <w:sz w:val="66"/>
          <w:szCs w:val="66"/>
        </w:rPr>
        <w:t xml:space="preserve"> годы</w:t>
      </w:r>
    </w:p>
    <w:p w:rsidR="00F867EC" w:rsidRDefault="004015EB" w:rsidP="00B904C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F867EC" w:rsidRDefault="00F867EC" w:rsidP="00B904CF">
      <w:pPr>
        <w:rPr>
          <w:sz w:val="40"/>
          <w:szCs w:val="40"/>
        </w:rPr>
      </w:pPr>
    </w:p>
    <w:p w:rsidR="001A7E0E" w:rsidRDefault="001A7E0E" w:rsidP="00F867EC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</w:p>
    <w:p w:rsidR="003C127B" w:rsidRDefault="004377DB" w:rsidP="001A7E0E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 w:rsidRPr="004377DB">
        <w:rPr>
          <w:rFonts w:ascii="Times New Roman" w:hAnsi="Times New Roman" w:cs="Times New Roman"/>
          <w:noProof/>
          <w:sz w:val="52"/>
          <w:szCs w:val="52"/>
          <w:lang w:eastAsia="ru-RU"/>
        </w:rPr>
        <w:lastRenderedPageBreak/>
        <w:pict>
          <v:roundrect id="_x0000_s1050" style="position:absolute;left:0;text-align:left;margin-left:41.55pt;margin-top:64.25pt;width:724.5pt;height:3.55pt;z-index:25167667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3C127B" w:rsidRPr="000F2472" w:rsidRDefault="003C127B" w:rsidP="003C127B">
                  <w:pPr>
                    <w:jc w:val="center"/>
                    <w:rPr>
                      <w:rFonts w:ascii="Georgia" w:hAnsi="Georgia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3C127B">
        <w:rPr>
          <w:rFonts w:ascii="Times New Roman" w:hAnsi="Times New Roman" w:cs="Times New Roman"/>
          <w:color w:val="7030A0"/>
          <w:sz w:val="52"/>
          <w:szCs w:val="52"/>
        </w:rPr>
        <w:t>Основы</w:t>
      </w:r>
      <w:r w:rsidR="003C127B" w:rsidRPr="00F867EC">
        <w:rPr>
          <w:rFonts w:ascii="Times New Roman" w:hAnsi="Times New Roman" w:cs="Times New Roman"/>
          <w:color w:val="7030A0"/>
          <w:sz w:val="52"/>
          <w:szCs w:val="52"/>
        </w:rPr>
        <w:t xml:space="preserve"> формирования бюджета на </w:t>
      </w:r>
      <w:r w:rsidR="008A6B79">
        <w:rPr>
          <w:rFonts w:ascii="Times New Roman" w:hAnsi="Times New Roman" w:cs="Times New Roman"/>
          <w:color w:val="7030A0"/>
          <w:sz w:val="52"/>
          <w:szCs w:val="52"/>
        </w:rPr>
        <w:t>2026</w:t>
      </w:r>
      <w:r w:rsidR="002E3448">
        <w:rPr>
          <w:rFonts w:ascii="Times New Roman" w:hAnsi="Times New Roman" w:cs="Times New Roman"/>
          <w:color w:val="7030A0"/>
          <w:sz w:val="52"/>
          <w:szCs w:val="52"/>
        </w:rPr>
        <w:t xml:space="preserve"> </w:t>
      </w:r>
      <w:r w:rsidR="00A066D2">
        <w:rPr>
          <w:rFonts w:ascii="Times New Roman" w:hAnsi="Times New Roman" w:cs="Times New Roman"/>
          <w:color w:val="7030A0"/>
          <w:sz w:val="52"/>
          <w:szCs w:val="52"/>
        </w:rPr>
        <w:t xml:space="preserve">год </w:t>
      </w:r>
      <w:r w:rsidR="008A6B79">
        <w:rPr>
          <w:rFonts w:ascii="Times New Roman" w:hAnsi="Times New Roman" w:cs="Times New Roman"/>
          <w:color w:val="7030A0"/>
          <w:sz w:val="52"/>
          <w:szCs w:val="52"/>
        </w:rPr>
        <w:t>и на плановый период 2027 и 2028</w:t>
      </w:r>
      <w:r w:rsidR="003C127B" w:rsidRPr="00F867EC">
        <w:rPr>
          <w:rFonts w:ascii="Times New Roman" w:hAnsi="Times New Roman" w:cs="Times New Roman"/>
          <w:color w:val="7030A0"/>
          <w:sz w:val="52"/>
          <w:szCs w:val="52"/>
        </w:rPr>
        <w:t xml:space="preserve"> годов</w:t>
      </w:r>
    </w:p>
    <w:p w:rsidR="00746CAF" w:rsidRDefault="004377DB" w:rsidP="001A7E0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roundrect id="_x0000_s1051" style="position:absolute;left:0;text-align:left;margin-left:15.3pt;margin-top:3.9pt;width:732.65pt;height:68.2pt;z-index:251677696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46CAF" w:rsidRPr="000F2472" w:rsidRDefault="00746CAF" w:rsidP="00746CAF">
                  <w:pPr>
                    <w:jc w:val="center"/>
                    <w:rPr>
                      <w:rFonts w:ascii="Georgia" w:hAnsi="Georgia"/>
                      <w:sz w:val="40"/>
                      <w:szCs w:val="40"/>
                    </w:rPr>
                  </w:pPr>
                  <w:r>
                    <w:rPr>
                      <w:rFonts w:ascii="Georgia" w:hAnsi="Georgia"/>
                      <w:sz w:val="40"/>
                      <w:szCs w:val="40"/>
                    </w:rPr>
                    <w:t>Прогноз социально-экономического развития Горняц</w:t>
                  </w:r>
                  <w:r w:rsidR="008A6B79">
                    <w:rPr>
                      <w:rFonts w:ascii="Georgia" w:hAnsi="Georgia"/>
                      <w:sz w:val="40"/>
                      <w:szCs w:val="40"/>
                    </w:rPr>
                    <w:t>кого сельского поселения на 2026-2028</w:t>
                  </w:r>
                  <w:r>
                    <w:rPr>
                      <w:rFonts w:ascii="Georgia" w:hAnsi="Georgia"/>
                      <w:sz w:val="40"/>
                      <w:szCs w:val="40"/>
                    </w:rPr>
                    <w:t xml:space="preserve"> годы</w:t>
                  </w:r>
                </w:p>
                <w:p w:rsidR="00746CAF" w:rsidRPr="000F2472" w:rsidRDefault="00746CAF" w:rsidP="00746CAF">
                  <w:pPr>
                    <w:jc w:val="center"/>
                    <w:rPr>
                      <w:rFonts w:ascii="Georgia" w:hAnsi="Georgia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46CAF" w:rsidRDefault="00746CAF" w:rsidP="001A7E0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127B" w:rsidRDefault="004377DB" w:rsidP="001A7E0E">
      <w:pPr>
        <w:jc w:val="center"/>
        <w:rPr>
          <w:rFonts w:ascii="Times New Roman" w:hAnsi="Times New Roman" w:cs="Times New Roman"/>
          <w:sz w:val="52"/>
          <w:szCs w:val="52"/>
        </w:rPr>
      </w:pPr>
      <w:r w:rsidRPr="004377DB">
        <w:rPr>
          <w:rFonts w:ascii="Times New Roman" w:hAnsi="Times New Roman" w:cs="Times New Roman"/>
          <w:noProof/>
          <w:color w:val="7030A0"/>
          <w:sz w:val="52"/>
          <w:szCs w:val="52"/>
          <w:lang w:eastAsia="ru-RU"/>
        </w:rPr>
        <w:pict>
          <v:roundrect id="_x0000_s1048" style="position:absolute;left:0;text-align:left;margin-left:15.3pt;margin-top:9.95pt;width:742.5pt;height:88.95pt;z-index:25167462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1A7E0E" w:rsidRPr="000F2472" w:rsidRDefault="001A7E0E" w:rsidP="001A7E0E">
                  <w:pPr>
                    <w:jc w:val="center"/>
                    <w:rPr>
                      <w:rFonts w:ascii="Georgia" w:hAnsi="Georgia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Georgia" w:hAnsi="Georgia"/>
                      <w:sz w:val="40"/>
                      <w:szCs w:val="40"/>
                    </w:rPr>
                    <w:t>Основные направления бюджетной и налоговой политики Горняц</w:t>
                  </w:r>
                  <w:r w:rsidR="008A6B79">
                    <w:rPr>
                      <w:rFonts w:ascii="Georgia" w:hAnsi="Georgia"/>
                      <w:sz w:val="40"/>
                      <w:szCs w:val="40"/>
                    </w:rPr>
                    <w:t>кого сельского поселения на 2026-2028</w:t>
                  </w:r>
                  <w:r w:rsidR="00F25A13">
                    <w:rPr>
                      <w:rFonts w:ascii="Georgia" w:hAnsi="Georgia"/>
                      <w:sz w:val="40"/>
                      <w:szCs w:val="40"/>
                    </w:rPr>
                    <w:t xml:space="preserve"> годы </w:t>
                  </w:r>
                  <w:r w:rsidR="00F40389">
                    <w:rPr>
                      <w:rFonts w:ascii="Georgia" w:hAnsi="Georgia"/>
                      <w:sz w:val="40"/>
                      <w:szCs w:val="40"/>
                    </w:rPr>
                    <w:t xml:space="preserve">(Постановление АГСП от </w:t>
                  </w:r>
                  <w:r w:rsidR="008A6B79">
                    <w:rPr>
                      <w:rFonts w:ascii="Georgia" w:hAnsi="Georgia"/>
                      <w:sz w:val="40"/>
                      <w:szCs w:val="40"/>
                    </w:rPr>
                    <w:t>11.11.2025</w:t>
                  </w:r>
                  <w:r>
                    <w:rPr>
                      <w:rFonts w:ascii="Georgia" w:hAnsi="Georgia"/>
                      <w:sz w:val="40"/>
                      <w:szCs w:val="40"/>
                    </w:rPr>
                    <w:t xml:space="preserve"> №</w:t>
                  </w:r>
                  <w:r w:rsidR="008A6B79">
                    <w:rPr>
                      <w:rFonts w:ascii="Georgia" w:hAnsi="Georgia"/>
                      <w:sz w:val="40"/>
                      <w:szCs w:val="40"/>
                    </w:rPr>
                    <w:t>222</w:t>
                  </w:r>
                  <w:proofErr w:type="gramEnd"/>
                </w:p>
              </w:txbxContent>
            </v:textbox>
          </v:roundrect>
        </w:pict>
      </w:r>
    </w:p>
    <w:p w:rsidR="003C127B" w:rsidRDefault="003C127B" w:rsidP="001A7E0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127B" w:rsidRDefault="004377DB" w:rsidP="003C127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roundrect id="_x0000_s1049" style="position:absolute;left:0;text-align:left;margin-left:1.7pt;margin-top:40.5pt;width:746.25pt;height:79.4pt;z-index:25167564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C127B" w:rsidRPr="000F2472" w:rsidRDefault="00746CAF" w:rsidP="003C127B">
                  <w:pPr>
                    <w:jc w:val="center"/>
                    <w:rPr>
                      <w:rFonts w:ascii="Georgia" w:hAnsi="Georgia"/>
                      <w:sz w:val="40"/>
                      <w:szCs w:val="40"/>
                    </w:rPr>
                  </w:pPr>
                  <w:r>
                    <w:rPr>
                      <w:rFonts w:ascii="Georgia" w:hAnsi="Georgia"/>
                      <w:sz w:val="40"/>
                      <w:szCs w:val="40"/>
                    </w:rPr>
                    <w:t>Муниципальные программы Горняцкого сельского поселения</w:t>
                  </w:r>
                </w:p>
                <w:p w:rsidR="003C127B" w:rsidRPr="000F2472" w:rsidRDefault="003C127B" w:rsidP="003C127B">
                  <w:pPr>
                    <w:jc w:val="center"/>
                    <w:rPr>
                      <w:rFonts w:ascii="Georgia" w:hAnsi="Georgia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3C127B">
        <w:rPr>
          <w:rFonts w:ascii="Times New Roman" w:hAnsi="Times New Roman" w:cs="Times New Roman"/>
          <w:sz w:val="52"/>
          <w:szCs w:val="52"/>
        </w:rPr>
        <w:tab/>
      </w:r>
    </w:p>
    <w:p w:rsidR="003C127B" w:rsidRPr="000F2472" w:rsidRDefault="003C127B" w:rsidP="003C127B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Муниципальные программы Горняцкого сельского поселения  на 2014-2016 годы</w:t>
      </w:r>
    </w:p>
    <w:p w:rsidR="003C127B" w:rsidRPr="00C72281" w:rsidRDefault="003C127B" w:rsidP="003C127B">
      <w:pPr>
        <w:jc w:val="center"/>
        <w:rPr>
          <w:rFonts w:ascii="Georgia" w:hAnsi="Georgia"/>
          <w:sz w:val="40"/>
          <w:szCs w:val="40"/>
        </w:rPr>
      </w:pPr>
    </w:p>
    <w:p w:rsidR="00F25A13" w:rsidRDefault="00F25A13" w:rsidP="001A7E0E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</w:p>
    <w:p w:rsidR="00F25A13" w:rsidRDefault="00F25A13" w:rsidP="001A7E0E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</w:p>
    <w:p w:rsidR="00746CAF" w:rsidRDefault="000C6CEF" w:rsidP="001A7E0E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>
        <w:rPr>
          <w:rFonts w:ascii="Times New Roman" w:hAnsi="Times New Roman" w:cs="Times New Roman"/>
          <w:color w:val="7030A0"/>
          <w:sz w:val="52"/>
          <w:szCs w:val="52"/>
        </w:rPr>
        <w:lastRenderedPageBreak/>
        <w:t xml:space="preserve">Проект </w:t>
      </w:r>
      <w:r w:rsidR="00B06962">
        <w:rPr>
          <w:rFonts w:ascii="Times New Roman" w:hAnsi="Times New Roman" w:cs="Times New Roman"/>
          <w:color w:val="7030A0"/>
          <w:sz w:val="52"/>
          <w:szCs w:val="52"/>
        </w:rPr>
        <w:t>Бюджет</w:t>
      </w:r>
      <w:r>
        <w:rPr>
          <w:rFonts w:ascii="Times New Roman" w:hAnsi="Times New Roman" w:cs="Times New Roman"/>
          <w:color w:val="7030A0"/>
          <w:sz w:val="52"/>
          <w:szCs w:val="52"/>
        </w:rPr>
        <w:t>а</w:t>
      </w:r>
    </w:p>
    <w:p w:rsidR="001A7E0E" w:rsidRDefault="001A7E0E" w:rsidP="001A7E0E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 w:rsidRPr="00F867EC">
        <w:rPr>
          <w:rFonts w:ascii="Times New Roman" w:hAnsi="Times New Roman" w:cs="Times New Roman"/>
          <w:color w:val="7030A0"/>
          <w:sz w:val="52"/>
          <w:szCs w:val="52"/>
        </w:rPr>
        <w:t xml:space="preserve"> на </w:t>
      </w:r>
      <w:r w:rsidR="008A6B79">
        <w:rPr>
          <w:rFonts w:ascii="Times New Roman" w:hAnsi="Times New Roman" w:cs="Times New Roman"/>
          <w:color w:val="7030A0"/>
          <w:sz w:val="52"/>
          <w:szCs w:val="52"/>
        </w:rPr>
        <w:t>2026 год и на плановый период 2027 и 2028</w:t>
      </w:r>
      <w:r w:rsidRPr="00F867EC">
        <w:rPr>
          <w:rFonts w:ascii="Times New Roman" w:hAnsi="Times New Roman" w:cs="Times New Roman"/>
          <w:color w:val="7030A0"/>
          <w:sz w:val="52"/>
          <w:szCs w:val="52"/>
        </w:rPr>
        <w:t xml:space="preserve"> годов</w:t>
      </w:r>
      <w:r w:rsidR="00746CAF">
        <w:rPr>
          <w:rFonts w:ascii="Times New Roman" w:hAnsi="Times New Roman" w:cs="Times New Roman"/>
          <w:color w:val="7030A0"/>
          <w:sz w:val="52"/>
          <w:szCs w:val="52"/>
        </w:rPr>
        <w:t xml:space="preserve"> направлен на решение следующих ключевых задач:</w:t>
      </w:r>
    </w:p>
    <w:p w:rsidR="00757D79" w:rsidRPr="00E15AAE" w:rsidRDefault="004377DB" w:rsidP="00B90BBC">
      <w:pPr>
        <w:rPr>
          <w:color w:val="7030A0"/>
          <w:sz w:val="72"/>
          <w:szCs w:val="72"/>
        </w:rPr>
      </w:pPr>
      <w:r w:rsidRPr="004377DB">
        <w:rPr>
          <w:noProof/>
          <w:sz w:val="72"/>
          <w:szCs w:val="72"/>
          <w:lang w:eastAsia="ru-RU"/>
        </w:rPr>
        <w:pict>
          <v:roundrect id="_x0000_s1037" style="position:absolute;margin-left:13.05pt;margin-top:59.75pt;width:735.75pt;height:50.95pt;z-index:25166438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5B5F18" w:rsidRPr="008C002D" w:rsidRDefault="008C002D" w:rsidP="000F2472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C002D">
                    <w:rPr>
                      <w:rFonts w:ascii="Georgia" w:hAnsi="Georgia"/>
                      <w:sz w:val="28"/>
                      <w:szCs w:val="28"/>
                    </w:rPr>
                    <w:t>п</w:t>
                  </w:r>
                  <w:r w:rsidR="00746CAF" w:rsidRPr="008C002D">
                    <w:rPr>
                      <w:rFonts w:ascii="Georgia" w:hAnsi="Georgia"/>
                      <w:sz w:val="28"/>
                      <w:szCs w:val="28"/>
                    </w:rPr>
                    <w:t>овышение эффективности бюджетной политики, в том числе за счет роста эфф</w:t>
                  </w:r>
                  <w:r w:rsidRPr="008C002D">
                    <w:rPr>
                      <w:rFonts w:ascii="Georgia" w:hAnsi="Georgia"/>
                      <w:sz w:val="28"/>
                      <w:szCs w:val="28"/>
                    </w:rPr>
                    <w:t>ективности бюджетных расходов</w:t>
                  </w:r>
                </w:p>
              </w:txbxContent>
            </v:textbox>
          </v:roundrect>
        </w:pict>
      </w:r>
      <w:r>
        <w:rPr>
          <w:noProof/>
          <w:color w:val="7030A0"/>
          <w:sz w:val="72"/>
          <w:szCs w:val="72"/>
          <w:lang w:eastAsia="ru-RU"/>
        </w:rPr>
        <w:pict>
          <v:roundrect id="_x0000_s1036" style="position:absolute;margin-left:7.8pt;margin-top:2pt;width:746.25pt;height:42.75pt;z-index:25166336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56EEE" w:rsidRPr="008C002D" w:rsidRDefault="008C002D" w:rsidP="000F2472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C002D">
                    <w:rPr>
                      <w:rFonts w:ascii="Georgia" w:hAnsi="Georgia"/>
                      <w:sz w:val="28"/>
                      <w:szCs w:val="28"/>
                    </w:rPr>
                    <w:t>о</w:t>
                  </w:r>
                  <w:r w:rsidR="00746CAF" w:rsidRPr="008C002D">
                    <w:rPr>
                      <w:rFonts w:ascii="Georgia" w:hAnsi="Georgia"/>
                      <w:sz w:val="28"/>
                      <w:szCs w:val="28"/>
                    </w:rPr>
                    <w:t>беспечение устойчивости и сбалансированности бюджетной системы в целях гарантированного исполнения действующих принимаемых расходных обязательств</w:t>
                  </w:r>
                </w:p>
              </w:txbxContent>
            </v:textbox>
          </v:roundrect>
        </w:pict>
      </w:r>
    </w:p>
    <w:p w:rsidR="00757D79" w:rsidRDefault="00757D79" w:rsidP="00F56EEE">
      <w:pPr>
        <w:rPr>
          <w:sz w:val="72"/>
          <w:szCs w:val="72"/>
        </w:rPr>
      </w:pPr>
    </w:p>
    <w:p w:rsidR="00757D79" w:rsidRDefault="004377DB" w:rsidP="00F56EEE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pict>
          <v:roundrect id="_x0000_s1038" style="position:absolute;margin-left:13.05pt;margin-top:13.6pt;width:741pt;height:44.25pt;z-index:251665408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2472" w:rsidRPr="008C002D" w:rsidRDefault="008C002D" w:rsidP="000F2472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C002D">
                    <w:rPr>
                      <w:rFonts w:ascii="Georgia" w:hAnsi="Georgia"/>
                      <w:sz w:val="28"/>
                      <w:szCs w:val="28"/>
                    </w:rPr>
                    <w:t>соответствие финансовых возможностей Горняцкого сельского поселения ключевым направлениям развития</w:t>
                  </w:r>
                </w:p>
              </w:txbxContent>
            </v:textbox>
          </v:roundrect>
        </w:pict>
      </w:r>
    </w:p>
    <w:p w:rsidR="00757D79" w:rsidRDefault="004377DB" w:rsidP="00F56EEE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pict>
          <v:roundrect id="_x0000_s1040" style="position:absolute;margin-left:7.8pt;margin-top:13.9pt;width:746.25pt;height:53.15pt;z-index:25166643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0F2472" w:rsidRPr="008C002D" w:rsidRDefault="008C002D" w:rsidP="00C72281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C002D">
                    <w:rPr>
                      <w:rFonts w:ascii="Georgia" w:hAnsi="Georgia"/>
                      <w:sz w:val="28"/>
                      <w:szCs w:val="28"/>
                    </w:rPr>
                    <w:t>повышение роли бюджетной политики для поддержки экономического роста</w:t>
                  </w:r>
                </w:p>
              </w:txbxContent>
            </v:textbox>
          </v:roundrect>
        </w:pict>
      </w:r>
    </w:p>
    <w:p w:rsidR="00757D79" w:rsidRDefault="004377DB" w:rsidP="00F56EEE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pict>
          <v:roundrect id="_x0000_s1041" style="position:absolute;margin-left:2.55pt;margin-top:20.05pt;width:746.25pt;height:56.25pt;z-index:25166745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F2472" w:rsidRPr="008C002D" w:rsidRDefault="008C002D" w:rsidP="00C72281">
                  <w:pPr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 w:rsidRPr="008C002D">
                    <w:rPr>
                      <w:rFonts w:ascii="Georgia" w:hAnsi="Georgia"/>
                      <w:sz w:val="28"/>
                      <w:szCs w:val="28"/>
                    </w:rPr>
                    <w:t>повышение прозрачности и открытости бюджетного процесса</w:t>
                  </w:r>
                </w:p>
              </w:txbxContent>
            </v:textbox>
          </v:roundrect>
        </w:pict>
      </w:r>
    </w:p>
    <w:p w:rsidR="00757D79" w:rsidRDefault="00757D79" w:rsidP="0061527F">
      <w:pPr>
        <w:jc w:val="center"/>
        <w:rPr>
          <w:sz w:val="72"/>
          <w:szCs w:val="72"/>
        </w:rPr>
      </w:pPr>
    </w:p>
    <w:p w:rsidR="001268EE" w:rsidRPr="00B904CF" w:rsidRDefault="00945494" w:rsidP="00945494">
      <w:pPr>
        <w:jc w:val="center"/>
        <w:rPr>
          <w:rFonts w:ascii="Times New Roman" w:hAnsi="Times New Roman" w:cs="Times New Roman"/>
          <w:color w:val="C00000"/>
          <w:sz w:val="64"/>
          <w:szCs w:val="64"/>
        </w:rPr>
      </w:pPr>
      <w:r w:rsidRPr="00B904CF">
        <w:rPr>
          <w:rFonts w:ascii="Times New Roman" w:hAnsi="Times New Roman" w:cs="Times New Roman"/>
          <w:color w:val="C00000"/>
          <w:sz w:val="64"/>
          <w:szCs w:val="64"/>
        </w:rPr>
        <w:lastRenderedPageBreak/>
        <w:t>О</w:t>
      </w:r>
      <w:r w:rsidR="001268EE" w:rsidRPr="00B904CF">
        <w:rPr>
          <w:rFonts w:ascii="Times New Roman" w:hAnsi="Times New Roman" w:cs="Times New Roman"/>
          <w:color w:val="C00000"/>
          <w:sz w:val="64"/>
          <w:szCs w:val="64"/>
        </w:rPr>
        <w:t>сновные парам</w:t>
      </w:r>
      <w:r w:rsidR="00B06962">
        <w:rPr>
          <w:rFonts w:ascii="Times New Roman" w:hAnsi="Times New Roman" w:cs="Times New Roman"/>
          <w:color w:val="C00000"/>
          <w:sz w:val="64"/>
          <w:szCs w:val="64"/>
        </w:rPr>
        <w:t xml:space="preserve">етры </w:t>
      </w:r>
      <w:r w:rsidR="000C6CEF">
        <w:rPr>
          <w:rFonts w:ascii="Times New Roman" w:hAnsi="Times New Roman" w:cs="Times New Roman"/>
          <w:color w:val="C00000"/>
          <w:sz w:val="64"/>
          <w:szCs w:val="64"/>
        </w:rPr>
        <w:t xml:space="preserve">проекта </w:t>
      </w:r>
      <w:r w:rsidR="009F62E3" w:rsidRPr="00B904CF">
        <w:rPr>
          <w:rFonts w:ascii="Times New Roman" w:hAnsi="Times New Roman" w:cs="Times New Roman"/>
          <w:color w:val="C00000"/>
          <w:sz w:val="64"/>
          <w:szCs w:val="64"/>
        </w:rPr>
        <w:t>бюджета Горняцкого</w:t>
      </w:r>
      <w:r w:rsidR="001268EE" w:rsidRPr="00B904CF">
        <w:rPr>
          <w:rFonts w:ascii="Times New Roman" w:hAnsi="Times New Roman" w:cs="Times New Roman"/>
          <w:color w:val="C00000"/>
          <w:sz w:val="64"/>
          <w:szCs w:val="64"/>
        </w:rPr>
        <w:t xml:space="preserve"> сельского поселения </w:t>
      </w:r>
      <w:r w:rsidR="007D1338">
        <w:rPr>
          <w:rFonts w:ascii="Times New Roman" w:hAnsi="Times New Roman" w:cs="Times New Roman"/>
          <w:color w:val="C00000"/>
          <w:sz w:val="64"/>
          <w:szCs w:val="64"/>
        </w:rPr>
        <w:t>Белокалитвинского района на 2026</w:t>
      </w:r>
      <w:r w:rsidR="00E15AAE" w:rsidRPr="00B904CF">
        <w:rPr>
          <w:rFonts w:ascii="Times New Roman" w:hAnsi="Times New Roman" w:cs="Times New Roman"/>
          <w:color w:val="C00000"/>
          <w:sz w:val="64"/>
          <w:szCs w:val="64"/>
        </w:rPr>
        <w:t xml:space="preserve"> год и </w:t>
      </w:r>
      <w:r w:rsidR="007D1338">
        <w:rPr>
          <w:rFonts w:ascii="Times New Roman" w:hAnsi="Times New Roman" w:cs="Times New Roman"/>
          <w:color w:val="C00000"/>
          <w:sz w:val="64"/>
          <w:szCs w:val="64"/>
        </w:rPr>
        <w:t xml:space="preserve">  плановый период 2027 и 2028</w:t>
      </w:r>
      <w:r w:rsidR="001268EE" w:rsidRPr="00B904CF">
        <w:rPr>
          <w:rFonts w:ascii="Times New Roman" w:hAnsi="Times New Roman" w:cs="Times New Roman"/>
          <w:color w:val="C00000"/>
          <w:sz w:val="64"/>
          <w:szCs w:val="64"/>
        </w:rPr>
        <w:t xml:space="preserve"> годов.</w:t>
      </w:r>
    </w:p>
    <w:p w:rsidR="00C85E80" w:rsidRPr="00C85E80" w:rsidRDefault="00C85E80" w:rsidP="00C85E80">
      <w:pPr>
        <w:jc w:val="right"/>
        <w:rPr>
          <w:rFonts w:ascii="Georgia" w:hAnsi="Georgia"/>
          <w:sz w:val="28"/>
          <w:szCs w:val="28"/>
        </w:rPr>
      </w:pPr>
      <w:r w:rsidRPr="00C85E80">
        <w:rPr>
          <w:rFonts w:ascii="Georgia" w:hAnsi="Georgia"/>
          <w:sz w:val="28"/>
          <w:szCs w:val="28"/>
        </w:rPr>
        <w:t>(тыс. рублей)</w:t>
      </w:r>
    </w:p>
    <w:tbl>
      <w:tblPr>
        <w:tblStyle w:val="a5"/>
        <w:tblW w:w="14567" w:type="dxa"/>
        <w:tblLook w:val="04A0"/>
      </w:tblPr>
      <w:tblGrid>
        <w:gridCol w:w="4475"/>
        <w:gridCol w:w="2721"/>
        <w:gridCol w:w="2551"/>
        <w:gridCol w:w="2268"/>
        <w:gridCol w:w="2552"/>
      </w:tblGrid>
      <w:tr w:rsidR="00EA2789" w:rsidRPr="004C517A" w:rsidTr="00BF7BF1">
        <w:tc>
          <w:tcPr>
            <w:tcW w:w="4475" w:type="dxa"/>
            <w:shd w:val="clear" w:color="auto" w:fill="8DB3E2" w:themeFill="text2" w:themeFillTint="66"/>
          </w:tcPr>
          <w:p w:rsidR="00EA2789" w:rsidRPr="00F76AC8" w:rsidRDefault="00EA2789" w:rsidP="00A47613">
            <w:pPr>
              <w:shd w:val="clear" w:color="auto" w:fill="00B0F0"/>
              <w:rPr>
                <w:sz w:val="28"/>
                <w:szCs w:val="28"/>
              </w:rPr>
            </w:pPr>
            <w:r w:rsidRPr="00F76AC8">
              <w:rPr>
                <w:sz w:val="28"/>
                <w:szCs w:val="28"/>
              </w:rPr>
              <w:t>Показатель</w:t>
            </w:r>
          </w:p>
        </w:tc>
        <w:tc>
          <w:tcPr>
            <w:tcW w:w="2721" w:type="dxa"/>
            <w:shd w:val="clear" w:color="auto" w:fill="8DB3E2" w:themeFill="text2" w:themeFillTint="66"/>
          </w:tcPr>
          <w:p w:rsidR="00EA2789" w:rsidRPr="00F76AC8" w:rsidRDefault="007D1338" w:rsidP="00F76AC8">
            <w:pPr>
              <w:shd w:val="clear" w:color="auto" w:fill="00B0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EA2789">
              <w:rPr>
                <w:sz w:val="24"/>
                <w:szCs w:val="24"/>
              </w:rPr>
              <w:t>год</w:t>
            </w:r>
          </w:p>
          <w:p w:rsidR="00EA2789" w:rsidRPr="00F76AC8" w:rsidRDefault="00EA2789" w:rsidP="00A47613">
            <w:pPr>
              <w:shd w:val="clear" w:color="auto" w:fill="00B0F0"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8DB3E2" w:themeFill="text2" w:themeFillTint="66"/>
          </w:tcPr>
          <w:p w:rsidR="00EA2789" w:rsidRPr="00F76AC8" w:rsidRDefault="007D1338" w:rsidP="00F25A13">
            <w:pPr>
              <w:shd w:val="clear" w:color="auto" w:fill="00B0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EA278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EA2789" w:rsidRPr="00F76AC8" w:rsidRDefault="007D1338" w:rsidP="00F25A13">
            <w:pPr>
              <w:shd w:val="clear" w:color="auto" w:fill="00B0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EA278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EA2789" w:rsidRPr="00F76AC8" w:rsidRDefault="007D1338" w:rsidP="00F25A13">
            <w:pPr>
              <w:shd w:val="clear" w:color="auto" w:fill="00B0F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EA2789">
              <w:rPr>
                <w:sz w:val="24"/>
                <w:szCs w:val="24"/>
              </w:rPr>
              <w:t xml:space="preserve"> год</w:t>
            </w:r>
          </w:p>
        </w:tc>
      </w:tr>
      <w:tr w:rsidR="00EA2789" w:rsidRPr="004C517A" w:rsidTr="00BF7BF1">
        <w:tc>
          <w:tcPr>
            <w:tcW w:w="4475" w:type="dxa"/>
          </w:tcPr>
          <w:p w:rsidR="00EA2789" w:rsidRPr="004C517A" w:rsidRDefault="00EA2789" w:rsidP="00A47613">
            <w:pPr>
              <w:shd w:val="clear" w:color="auto" w:fill="B6DDE8" w:themeFill="accent5" w:themeFillTint="66"/>
              <w:rPr>
                <w:sz w:val="40"/>
                <w:szCs w:val="40"/>
                <w:lang w:val="en-US"/>
              </w:rPr>
            </w:pPr>
          </w:p>
        </w:tc>
        <w:tc>
          <w:tcPr>
            <w:tcW w:w="2721" w:type="dxa"/>
            <w:shd w:val="clear" w:color="auto" w:fill="auto"/>
          </w:tcPr>
          <w:p w:rsidR="00EA2789" w:rsidRPr="00F76AC8" w:rsidRDefault="00EA2789" w:rsidP="00F32E78">
            <w:pPr>
              <w:shd w:val="clear" w:color="auto" w:fill="B6DDE8" w:themeFill="accent5" w:themeFillTint="66"/>
              <w:jc w:val="right"/>
              <w:rPr>
                <w:sz w:val="24"/>
                <w:szCs w:val="24"/>
              </w:rPr>
            </w:pPr>
            <w:r w:rsidRPr="00F76AC8">
              <w:rPr>
                <w:sz w:val="20"/>
                <w:szCs w:val="20"/>
              </w:rPr>
              <w:t>Решение</w:t>
            </w:r>
          </w:p>
        </w:tc>
        <w:tc>
          <w:tcPr>
            <w:tcW w:w="2551" w:type="dxa"/>
          </w:tcPr>
          <w:p w:rsidR="00EA2789" w:rsidRPr="00F76AC8" w:rsidRDefault="000C6CEF" w:rsidP="00A47613">
            <w:pPr>
              <w:shd w:val="clear" w:color="auto" w:fill="B6DDE8" w:themeFill="accent5" w:themeFillTint="66"/>
              <w:jc w:val="righ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2268" w:type="dxa"/>
          </w:tcPr>
          <w:p w:rsidR="00EA2789" w:rsidRPr="00F76AC8" w:rsidRDefault="00EA2789" w:rsidP="00A47613">
            <w:pPr>
              <w:shd w:val="clear" w:color="auto" w:fill="B6DDE8" w:themeFill="accent5" w:themeFillTint="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EA2789" w:rsidRPr="00F76AC8" w:rsidRDefault="00EA2789" w:rsidP="00A47613">
            <w:pPr>
              <w:shd w:val="clear" w:color="auto" w:fill="B6DDE8" w:themeFill="accent5" w:themeFillTint="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:rsidR="00EA2789" w:rsidRPr="000C2E5D" w:rsidTr="00BF7BF1">
        <w:tc>
          <w:tcPr>
            <w:tcW w:w="4475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rPr>
                <w:b/>
                <w:sz w:val="28"/>
                <w:szCs w:val="28"/>
              </w:rPr>
            </w:pPr>
            <w:r w:rsidRPr="000C2E5D">
              <w:rPr>
                <w:b/>
                <w:sz w:val="28"/>
                <w:szCs w:val="28"/>
                <w:lang w:val="en-US"/>
              </w:rPr>
              <w:t>I</w:t>
            </w:r>
            <w:r w:rsidRPr="000C2E5D">
              <w:rPr>
                <w:b/>
                <w:sz w:val="28"/>
                <w:szCs w:val="28"/>
              </w:rPr>
              <w:t>.Доходы</w:t>
            </w:r>
          </w:p>
        </w:tc>
        <w:tc>
          <w:tcPr>
            <w:tcW w:w="2721" w:type="dxa"/>
          </w:tcPr>
          <w:p w:rsidR="00EA2789" w:rsidRPr="000C2E5D" w:rsidRDefault="00EE16AC" w:rsidP="00F867EC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284276,4</w:t>
            </w:r>
          </w:p>
        </w:tc>
        <w:tc>
          <w:tcPr>
            <w:tcW w:w="2551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213125,0</w:t>
            </w:r>
          </w:p>
        </w:tc>
        <w:tc>
          <w:tcPr>
            <w:tcW w:w="2268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202111,4</w:t>
            </w:r>
          </w:p>
        </w:tc>
        <w:tc>
          <w:tcPr>
            <w:tcW w:w="2552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120017,2</w:t>
            </w:r>
          </w:p>
        </w:tc>
      </w:tr>
      <w:tr w:rsidR="00EA2789" w:rsidRPr="000C2E5D" w:rsidTr="00BF7BF1">
        <w:tc>
          <w:tcPr>
            <w:tcW w:w="4475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rPr>
                <w:b/>
                <w:sz w:val="28"/>
                <w:szCs w:val="28"/>
              </w:rPr>
            </w:pPr>
            <w:r w:rsidRPr="000C2E5D">
              <w:rPr>
                <w:b/>
                <w:sz w:val="28"/>
                <w:szCs w:val="28"/>
              </w:rPr>
              <w:t>из них:</w:t>
            </w:r>
          </w:p>
        </w:tc>
        <w:tc>
          <w:tcPr>
            <w:tcW w:w="2721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</w:p>
        </w:tc>
      </w:tr>
      <w:tr w:rsidR="00EA2789" w:rsidRPr="000C2E5D" w:rsidTr="00BF7BF1">
        <w:tc>
          <w:tcPr>
            <w:tcW w:w="4475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rPr>
                <w:b/>
                <w:sz w:val="28"/>
                <w:szCs w:val="28"/>
              </w:rPr>
            </w:pPr>
            <w:r w:rsidRPr="000C2E5D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721" w:type="dxa"/>
          </w:tcPr>
          <w:p w:rsidR="00EA2789" w:rsidRPr="000C2E5D" w:rsidRDefault="00EE16AC" w:rsidP="00BF7BF1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15116,1</w:t>
            </w:r>
          </w:p>
        </w:tc>
        <w:tc>
          <w:tcPr>
            <w:tcW w:w="2551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16888,0</w:t>
            </w:r>
          </w:p>
        </w:tc>
        <w:tc>
          <w:tcPr>
            <w:tcW w:w="2268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16891,7</w:t>
            </w:r>
          </w:p>
        </w:tc>
        <w:tc>
          <w:tcPr>
            <w:tcW w:w="2552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16895,6</w:t>
            </w:r>
          </w:p>
        </w:tc>
      </w:tr>
      <w:tr w:rsidR="00EA2789" w:rsidRPr="000C2E5D" w:rsidTr="00BF7BF1">
        <w:tc>
          <w:tcPr>
            <w:tcW w:w="4475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rPr>
                <w:b/>
                <w:sz w:val="28"/>
                <w:szCs w:val="28"/>
              </w:rPr>
            </w:pPr>
            <w:r w:rsidRPr="000C2E5D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721" w:type="dxa"/>
          </w:tcPr>
          <w:p w:rsidR="00EA2789" w:rsidRPr="000C2E5D" w:rsidRDefault="00EE16AC" w:rsidP="00F867EC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269160,3</w:t>
            </w:r>
          </w:p>
        </w:tc>
        <w:tc>
          <w:tcPr>
            <w:tcW w:w="2551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196237,0</w:t>
            </w:r>
          </w:p>
        </w:tc>
        <w:tc>
          <w:tcPr>
            <w:tcW w:w="2268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185219,7</w:t>
            </w:r>
          </w:p>
        </w:tc>
        <w:tc>
          <w:tcPr>
            <w:tcW w:w="2552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103121,6</w:t>
            </w:r>
          </w:p>
        </w:tc>
      </w:tr>
      <w:tr w:rsidR="00EA2789" w:rsidRPr="000C2E5D" w:rsidTr="00BF7BF1">
        <w:tc>
          <w:tcPr>
            <w:tcW w:w="4475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rPr>
                <w:b/>
                <w:sz w:val="28"/>
                <w:szCs w:val="28"/>
              </w:rPr>
            </w:pPr>
            <w:r w:rsidRPr="000C2E5D">
              <w:rPr>
                <w:b/>
                <w:sz w:val="28"/>
                <w:szCs w:val="28"/>
                <w:lang w:val="en-US"/>
              </w:rPr>
              <w:t>II</w:t>
            </w:r>
            <w:r w:rsidRPr="000C2E5D">
              <w:rPr>
                <w:b/>
                <w:sz w:val="28"/>
                <w:szCs w:val="28"/>
              </w:rPr>
              <w:t>.Расходы, всего</w:t>
            </w:r>
          </w:p>
        </w:tc>
        <w:tc>
          <w:tcPr>
            <w:tcW w:w="2721" w:type="dxa"/>
          </w:tcPr>
          <w:p w:rsidR="00EA2789" w:rsidRPr="000C2E5D" w:rsidRDefault="00EE16AC" w:rsidP="00F867EC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284850,9</w:t>
            </w:r>
          </w:p>
        </w:tc>
        <w:tc>
          <w:tcPr>
            <w:tcW w:w="2551" w:type="dxa"/>
          </w:tcPr>
          <w:p w:rsidR="00EA2789" w:rsidRPr="000C2E5D" w:rsidRDefault="007D1338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213125,0</w:t>
            </w:r>
          </w:p>
        </w:tc>
        <w:tc>
          <w:tcPr>
            <w:tcW w:w="2268" w:type="dxa"/>
          </w:tcPr>
          <w:p w:rsidR="00EA2789" w:rsidRPr="000C2E5D" w:rsidRDefault="00F80A6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202111,4</w:t>
            </w:r>
          </w:p>
        </w:tc>
        <w:tc>
          <w:tcPr>
            <w:tcW w:w="2552" w:type="dxa"/>
          </w:tcPr>
          <w:p w:rsidR="00EA2789" w:rsidRPr="000C2E5D" w:rsidRDefault="00F80A6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120017,2</w:t>
            </w:r>
          </w:p>
        </w:tc>
      </w:tr>
      <w:tr w:rsidR="00EA2789" w:rsidRPr="000C2E5D" w:rsidTr="00BF7BF1">
        <w:tc>
          <w:tcPr>
            <w:tcW w:w="4475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rPr>
                <w:b/>
                <w:sz w:val="28"/>
                <w:szCs w:val="28"/>
              </w:rPr>
            </w:pPr>
            <w:r w:rsidRPr="000C2E5D">
              <w:rPr>
                <w:b/>
                <w:sz w:val="28"/>
                <w:szCs w:val="28"/>
                <w:lang w:val="en-US"/>
              </w:rPr>
              <w:t>III</w:t>
            </w:r>
            <w:r w:rsidRPr="000C2E5D">
              <w:rPr>
                <w:b/>
                <w:sz w:val="28"/>
                <w:szCs w:val="28"/>
              </w:rPr>
              <w:t>.Дефицит (-), профицит (+)</w:t>
            </w:r>
          </w:p>
        </w:tc>
        <w:tc>
          <w:tcPr>
            <w:tcW w:w="2721" w:type="dxa"/>
          </w:tcPr>
          <w:p w:rsidR="00EA2789" w:rsidRPr="000C2E5D" w:rsidRDefault="00801F8E" w:rsidP="00BE6ABF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EE16AC">
              <w:rPr>
                <w:b/>
                <w:sz w:val="24"/>
                <w:szCs w:val="24"/>
              </w:rPr>
              <w:t>574</w:t>
            </w:r>
            <w:r w:rsidR="00BE6ABF">
              <w:rPr>
                <w:b/>
                <w:sz w:val="24"/>
                <w:szCs w:val="24"/>
              </w:rPr>
              <w:t>,</w:t>
            </w:r>
            <w:r w:rsidR="00EE16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A2789" w:rsidRPr="000C2E5D" w:rsidRDefault="00A46C93" w:rsidP="00FE50BB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E50B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:rsidR="00EA2789" w:rsidRPr="000C2E5D" w:rsidRDefault="00621BF2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552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 w:rsidRPr="000C2E5D">
              <w:rPr>
                <w:b/>
                <w:sz w:val="24"/>
                <w:szCs w:val="24"/>
              </w:rPr>
              <w:t>0,0</w:t>
            </w:r>
          </w:p>
        </w:tc>
      </w:tr>
      <w:tr w:rsidR="00EA2789" w:rsidRPr="000C2E5D" w:rsidTr="00BF7BF1">
        <w:tc>
          <w:tcPr>
            <w:tcW w:w="4475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rPr>
                <w:b/>
                <w:sz w:val="28"/>
                <w:szCs w:val="28"/>
              </w:rPr>
            </w:pPr>
            <w:r w:rsidRPr="000C2E5D">
              <w:rPr>
                <w:b/>
                <w:sz w:val="28"/>
                <w:szCs w:val="28"/>
                <w:lang w:val="en-US"/>
              </w:rPr>
              <w:t>VI</w:t>
            </w:r>
            <w:r w:rsidRPr="000C2E5D">
              <w:rPr>
                <w:b/>
                <w:sz w:val="28"/>
                <w:szCs w:val="28"/>
              </w:rPr>
              <w:t>.Источники финансирования дефицита</w:t>
            </w:r>
          </w:p>
        </w:tc>
        <w:tc>
          <w:tcPr>
            <w:tcW w:w="2721" w:type="dxa"/>
          </w:tcPr>
          <w:p w:rsidR="00EA2789" w:rsidRPr="000C2E5D" w:rsidRDefault="00EA2789" w:rsidP="00F867EC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 w:rsidRPr="000C2E5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 w:rsidRPr="000C2E5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 w:rsidRPr="000C2E5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552" w:type="dxa"/>
          </w:tcPr>
          <w:p w:rsidR="00EA2789" w:rsidRPr="000C2E5D" w:rsidRDefault="00EA2789" w:rsidP="00A47613">
            <w:pPr>
              <w:shd w:val="clear" w:color="auto" w:fill="B6DDE8" w:themeFill="accent5" w:themeFillTint="66"/>
              <w:jc w:val="right"/>
              <w:rPr>
                <w:b/>
                <w:sz w:val="24"/>
                <w:szCs w:val="24"/>
              </w:rPr>
            </w:pPr>
            <w:r w:rsidRPr="000C2E5D">
              <w:rPr>
                <w:b/>
                <w:sz w:val="24"/>
                <w:szCs w:val="24"/>
              </w:rPr>
              <w:t>0,0</w:t>
            </w:r>
          </w:p>
        </w:tc>
      </w:tr>
    </w:tbl>
    <w:p w:rsidR="00945494" w:rsidRDefault="00945494" w:rsidP="00945494">
      <w:pPr>
        <w:jc w:val="center"/>
      </w:pPr>
    </w:p>
    <w:p w:rsidR="00F867EC" w:rsidRDefault="00F867EC" w:rsidP="0061527F">
      <w:pPr>
        <w:jc w:val="center"/>
        <w:rPr>
          <w:rFonts w:ascii="Georgia" w:hAnsi="Georgia"/>
          <w:color w:val="7030A0"/>
          <w:sz w:val="52"/>
          <w:szCs w:val="52"/>
        </w:rPr>
      </w:pPr>
    </w:p>
    <w:p w:rsidR="00BF7BF1" w:rsidRDefault="00BF7BF1" w:rsidP="0061527F">
      <w:pPr>
        <w:jc w:val="center"/>
        <w:rPr>
          <w:rFonts w:ascii="Georgia" w:hAnsi="Georgia"/>
          <w:color w:val="7030A0"/>
          <w:sz w:val="52"/>
          <w:szCs w:val="52"/>
        </w:rPr>
      </w:pPr>
    </w:p>
    <w:p w:rsidR="001268EE" w:rsidRDefault="004C7372" w:rsidP="0061527F">
      <w:pPr>
        <w:jc w:val="center"/>
        <w:rPr>
          <w:rFonts w:ascii="Georgia" w:hAnsi="Georgia"/>
          <w:color w:val="7030A0"/>
          <w:sz w:val="52"/>
          <w:szCs w:val="52"/>
        </w:rPr>
      </w:pPr>
      <w:r w:rsidRPr="00D9007A">
        <w:rPr>
          <w:rFonts w:ascii="Georgia" w:hAnsi="Georgia"/>
          <w:color w:val="7030A0"/>
          <w:sz w:val="52"/>
          <w:szCs w:val="52"/>
        </w:rPr>
        <w:lastRenderedPageBreak/>
        <w:t>Дина</w:t>
      </w:r>
      <w:r w:rsidR="00623AF7">
        <w:rPr>
          <w:rFonts w:ascii="Georgia" w:hAnsi="Georgia"/>
          <w:color w:val="7030A0"/>
          <w:sz w:val="52"/>
          <w:szCs w:val="52"/>
        </w:rPr>
        <w:t>мика доходов бюджета Горняцкого</w:t>
      </w:r>
      <w:r w:rsidRPr="00D9007A">
        <w:rPr>
          <w:rFonts w:ascii="Georgia" w:hAnsi="Georgia"/>
          <w:color w:val="7030A0"/>
          <w:sz w:val="52"/>
          <w:szCs w:val="52"/>
        </w:rPr>
        <w:t xml:space="preserve"> сельского </w:t>
      </w:r>
    </w:p>
    <w:p w:rsidR="00757D79" w:rsidRPr="00D9007A" w:rsidRDefault="004C7372" w:rsidP="0061527F">
      <w:pPr>
        <w:jc w:val="center"/>
        <w:rPr>
          <w:rFonts w:ascii="Georgia" w:hAnsi="Georgia"/>
          <w:color w:val="7030A0"/>
          <w:sz w:val="52"/>
          <w:szCs w:val="52"/>
        </w:rPr>
      </w:pPr>
      <w:r w:rsidRPr="00D9007A">
        <w:rPr>
          <w:rFonts w:ascii="Georgia" w:hAnsi="Georgia"/>
          <w:color w:val="7030A0"/>
          <w:sz w:val="52"/>
          <w:szCs w:val="52"/>
        </w:rPr>
        <w:t>поселения Белокалитвинского района</w:t>
      </w:r>
    </w:p>
    <w:p w:rsidR="004C7372" w:rsidRPr="004C7372" w:rsidRDefault="00DE0CDA" w:rsidP="0061527F">
      <w:pPr>
        <w:jc w:val="center"/>
        <w:rPr>
          <w:rFonts w:ascii="Georgia" w:hAnsi="Georgia"/>
          <w:sz w:val="52"/>
          <w:szCs w:val="52"/>
        </w:rPr>
      </w:pPr>
      <w:r>
        <w:rPr>
          <w:rFonts w:ascii="Georgia" w:hAnsi="Georgia"/>
          <w:noProof/>
          <w:sz w:val="52"/>
          <w:szCs w:val="52"/>
          <w:lang w:eastAsia="ru-RU"/>
        </w:rPr>
        <w:drawing>
          <wp:inline distT="0" distB="0" distL="0" distR="0">
            <wp:extent cx="6572250" cy="4219575"/>
            <wp:effectExtent l="57150" t="0" r="38100" b="285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7D79" w:rsidRPr="004D4751" w:rsidRDefault="004D4751" w:rsidP="004D4751">
      <w:pPr>
        <w:pStyle w:val="a6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Областной бюджет</w:t>
      </w:r>
    </w:p>
    <w:p w:rsidR="00757D79" w:rsidRPr="004D4751" w:rsidRDefault="004D4751" w:rsidP="004D4751">
      <w:pPr>
        <w:pStyle w:val="a6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Местный бюджет</w:t>
      </w:r>
    </w:p>
    <w:p w:rsidR="000C2E5D" w:rsidRDefault="000C2E5D" w:rsidP="0061527F">
      <w:pPr>
        <w:jc w:val="center"/>
        <w:rPr>
          <w:rFonts w:ascii="Times New Roman" w:hAnsi="Times New Roman" w:cs="Times New Roman"/>
          <w:color w:val="0066FF"/>
          <w:sz w:val="48"/>
          <w:szCs w:val="48"/>
        </w:rPr>
      </w:pPr>
    </w:p>
    <w:p w:rsidR="005D1ACD" w:rsidRPr="00F867EC" w:rsidRDefault="00B436E9" w:rsidP="0061527F">
      <w:pPr>
        <w:jc w:val="center"/>
        <w:rPr>
          <w:rFonts w:ascii="Times New Roman" w:hAnsi="Times New Roman" w:cs="Times New Roman"/>
          <w:color w:val="0066FF"/>
          <w:sz w:val="48"/>
          <w:szCs w:val="48"/>
        </w:rPr>
      </w:pPr>
      <w:r w:rsidRPr="00F867EC">
        <w:rPr>
          <w:rFonts w:ascii="Times New Roman" w:hAnsi="Times New Roman" w:cs="Times New Roman"/>
          <w:color w:val="0066FF"/>
          <w:sz w:val="48"/>
          <w:szCs w:val="48"/>
        </w:rPr>
        <w:t>Структура собственных</w:t>
      </w:r>
      <w:r w:rsidR="00623AF7" w:rsidRPr="00F867EC">
        <w:rPr>
          <w:rFonts w:ascii="Times New Roman" w:hAnsi="Times New Roman" w:cs="Times New Roman"/>
          <w:color w:val="0066FF"/>
          <w:sz w:val="48"/>
          <w:szCs w:val="48"/>
        </w:rPr>
        <w:t xml:space="preserve"> доходов бюджета Горняцкого</w:t>
      </w:r>
      <w:r w:rsidR="006F0BF0" w:rsidRPr="00F867EC">
        <w:rPr>
          <w:rFonts w:ascii="Times New Roman" w:hAnsi="Times New Roman" w:cs="Times New Roman"/>
          <w:color w:val="0066FF"/>
          <w:sz w:val="48"/>
          <w:szCs w:val="48"/>
        </w:rPr>
        <w:t xml:space="preserve"> сельского поселения</w:t>
      </w:r>
      <w:r w:rsidR="000D0280">
        <w:rPr>
          <w:rFonts w:ascii="Times New Roman" w:hAnsi="Times New Roman" w:cs="Times New Roman"/>
          <w:color w:val="0066FF"/>
          <w:sz w:val="48"/>
          <w:szCs w:val="48"/>
        </w:rPr>
        <w:t xml:space="preserve"> </w:t>
      </w:r>
      <w:proofErr w:type="spellStart"/>
      <w:r w:rsidR="000D0280">
        <w:rPr>
          <w:rFonts w:ascii="Times New Roman" w:hAnsi="Times New Roman" w:cs="Times New Roman"/>
          <w:color w:val="0066FF"/>
          <w:sz w:val="48"/>
          <w:szCs w:val="48"/>
        </w:rPr>
        <w:t>Белокалитвинского</w:t>
      </w:r>
      <w:proofErr w:type="spellEnd"/>
      <w:r w:rsidR="000D0280">
        <w:rPr>
          <w:rFonts w:ascii="Times New Roman" w:hAnsi="Times New Roman" w:cs="Times New Roman"/>
          <w:color w:val="0066FF"/>
          <w:sz w:val="48"/>
          <w:szCs w:val="48"/>
        </w:rPr>
        <w:t xml:space="preserve"> района в 2026</w:t>
      </w:r>
      <w:r w:rsidR="006F0BF0" w:rsidRPr="00F867EC">
        <w:rPr>
          <w:rFonts w:ascii="Times New Roman" w:hAnsi="Times New Roman" w:cs="Times New Roman"/>
          <w:color w:val="0066FF"/>
          <w:sz w:val="48"/>
          <w:szCs w:val="48"/>
        </w:rPr>
        <w:t xml:space="preserve"> году</w:t>
      </w:r>
      <w:r w:rsidR="005D1ACD" w:rsidRPr="00F867EC">
        <w:rPr>
          <w:rFonts w:ascii="Times New Roman" w:hAnsi="Times New Roman" w:cs="Times New Roman"/>
          <w:color w:val="0066FF"/>
          <w:sz w:val="48"/>
          <w:szCs w:val="48"/>
        </w:rPr>
        <w:t xml:space="preserve">  </w:t>
      </w:r>
    </w:p>
    <w:p w:rsidR="00757D79" w:rsidRDefault="000D0280" w:rsidP="00D9007A">
      <w:pPr>
        <w:jc w:val="center"/>
        <w:rPr>
          <w:sz w:val="72"/>
          <w:szCs w:val="72"/>
        </w:rPr>
      </w:pPr>
      <w:r>
        <w:rPr>
          <w:rFonts w:ascii="Times New Roman" w:hAnsi="Times New Roman" w:cs="Times New Roman"/>
          <w:color w:val="0066FF"/>
          <w:sz w:val="48"/>
          <w:szCs w:val="48"/>
        </w:rPr>
        <w:t>16 888,0</w:t>
      </w:r>
      <w:r w:rsidR="005D1ACD" w:rsidRPr="00F867EC">
        <w:rPr>
          <w:rFonts w:ascii="Times New Roman" w:hAnsi="Times New Roman" w:cs="Times New Roman"/>
          <w:color w:val="0066FF"/>
          <w:sz w:val="48"/>
          <w:szCs w:val="48"/>
        </w:rPr>
        <w:t xml:space="preserve"> тыс.</w:t>
      </w:r>
      <w:r w:rsidR="00192A27">
        <w:rPr>
          <w:rFonts w:ascii="Times New Roman" w:hAnsi="Times New Roman" w:cs="Times New Roman"/>
          <w:color w:val="0066FF"/>
          <w:sz w:val="48"/>
          <w:szCs w:val="48"/>
        </w:rPr>
        <w:t xml:space="preserve"> </w:t>
      </w:r>
      <w:r w:rsidR="005D1ACD" w:rsidRPr="00F867EC">
        <w:rPr>
          <w:rFonts w:ascii="Times New Roman" w:hAnsi="Times New Roman" w:cs="Times New Roman"/>
          <w:color w:val="0066FF"/>
          <w:sz w:val="48"/>
          <w:szCs w:val="48"/>
        </w:rPr>
        <w:t>руб.</w:t>
      </w:r>
      <w:r w:rsidR="006F0BF0">
        <w:rPr>
          <w:noProof/>
          <w:sz w:val="72"/>
          <w:szCs w:val="72"/>
          <w:lang w:eastAsia="ru-RU"/>
        </w:rPr>
        <w:drawing>
          <wp:inline distT="0" distB="0" distL="0" distR="0">
            <wp:extent cx="8591550" cy="4343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5494" w:rsidRPr="00AF28FC" w:rsidRDefault="00945494" w:rsidP="0061527F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AF28FC">
        <w:rPr>
          <w:rFonts w:ascii="Times New Roman" w:hAnsi="Times New Roman" w:cs="Times New Roman"/>
          <w:color w:val="7030A0"/>
          <w:sz w:val="56"/>
          <w:szCs w:val="56"/>
        </w:rPr>
        <w:lastRenderedPageBreak/>
        <w:t>Динамика поступления налога на доходы физических лиц в части местного бюджета</w:t>
      </w:r>
      <w:r w:rsidR="00481EB7" w:rsidRPr="00AF28FC">
        <w:rPr>
          <w:rFonts w:ascii="Times New Roman" w:hAnsi="Times New Roman" w:cs="Times New Roman"/>
          <w:color w:val="7030A0"/>
          <w:sz w:val="56"/>
          <w:szCs w:val="56"/>
        </w:rPr>
        <w:t xml:space="preserve"> (тыс.</w:t>
      </w:r>
      <w:r w:rsidR="00C86E32">
        <w:rPr>
          <w:rFonts w:ascii="Times New Roman" w:hAnsi="Times New Roman" w:cs="Times New Roman"/>
          <w:color w:val="7030A0"/>
          <w:sz w:val="56"/>
          <w:szCs w:val="56"/>
        </w:rPr>
        <w:t xml:space="preserve"> </w:t>
      </w:r>
      <w:r w:rsidR="00481EB7" w:rsidRPr="00AF28FC">
        <w:rPr>
          <w:rFonts w:ascii="Times New Roman" w:hAnsi="Times New Roman" w:cs="Times New Roman"/>
          <w:color w:val="7030A0"/>
          <w:sz w:val="56"/>
          <w:szCs w:val="56"/>
        </w:rPr>
        <w:t>руб.)</w:t>
      </w:r>
    </w:p>
    <w:p w:rsidR="00945494" w:rsidRDefault="00945494" w:rsidP="0061527F">
      <w:pPr>
        <w:jc w:val="center"/>
      </w:pPr>
    </w:p>
    <w:p w:rsidR="00945494" w:rsidRDefault="00945494" w:rsidP="001A5C07">
      <w:r>
        <w:rPr>
          <w:noProof/>
          <w:lang w:eastAsia="ru-RU"/>
        </w:rPr>
        <w:drawing>
          <wp:inline distT="0" distB="0" distL="0" distR="0">
            <wp:extent cx="1810970" cy="3009900"/>
            <wp:effectExtent l="114300" t="76200" r="74980" b="76200"/>
            <wp:docPr id="16" name="Рисунок 15" descr="1349840392_dohody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9840392_dohody-1[1]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70" cy="3009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A5C07">
        <w:t xml:space="preserve">                         </w:t>
      </w:r>
      <w:r w:rsidR="001A5C07">
        <w:rPr>
          <w:noProof/>
          <w:lang w:eastAsia="ru-RU"/>
        </w:rPr>
        <w:drawing>
          <wp:inline distT="0" distB="0" distL="0" distR="0">
            <wp:extent cx="6324600" cy="3876675"/>
            <wp:effectExtent l="57150" t="0" r="38100" b="2857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45494" w:rsidRDefault="00945494" w:rsidP="0061527F">
      <w:pPr>
        <w:jc w:val="center"/>
      </w:pPr>
    </w:p>
    <w:p w:rsidR="00945494" w:rsidRDefault="00945494" w:rsidP="0061527F">
      <w:pPr>
        <w:jc w:val="center"/>
      </w:pPr>
    </w:p>
    <w:p w:rsidR="00945494" w:rsidRPr="005F7D75" w:rsidRDefault="00E15AAE" w:rsidP="0061527F">
      <w:pPr>
        <w:jc w:val="center"/>
        <w:rPr>
          <w:rFonts w:ascii="Georgia" w:hAnsi="Georgia"/>
          <w:color w:val="0000CC"/>
          <w:sz w:val="52"/>
          <w:szCs w:val="52"/>
        </w:rPr>
      </w:pPr>
      <w:r w:rsidRPr="005F7D75">
        <w:rPr>
          <w:rFonts w:ascii="Georgia" w:hAnsi="Georgia"/>
          <w:color w:val="0000CC"/>
          <w:sz w:val="52"/>
          <w:szCs w:val="52"/>
        </w:rPr>
        <w:lastRenderedPageBreak/>
        <w:t>Безвозмездные поступления в бюджет</w:t>
      </w:r>
      <w:r w:rsidR="00847E1A">
        <w:rPr>
          <w:rFonts w:ascii="Georgia" w:hAnsi="Georgia"/>
          <w:color w:val="0000CC"/>
          <w:sz w:val="52"/>
          <w:szCs w:val="52"/>
        </w:rPr>
        <w:t xml:space="preserve"> Горняцкого</w:t>
      </w:r>
      <w:r w:rsidRPr="005F7D75">
        <w:rPr>
          <w:rFonts w:ascii="Georgia" w:hAnsi="Georgia"/>
          <w:color w:val="0000CC"/>
          <w:sz w:val="52"/>
          <w:szCs w:val="52"/>
        </w:rPr>
        <w:t xml:space="preserve"> сельского поселения Белокалитвинского района </w:t>
      </w:r>
    </w:p>
    <w:p w:rsidR="005540B6" w:rsidRPr="00481EB7" w:rsidRDefault="00481EB7" w:rsidP="0061527F">
      <w:pPr>
        <w:jc w:val="center"/>
        <w:rPr>
          <w:rFonts w:ascii="Georgia" w:hAnsi="Georgia"/>
          <w:color w:val="1F497D" w:themeColor="text2"/>
          <w:sz w:val="52"/>
          <w:szCs w:val="52"/>
        </w:rPr>
      </w:pPr>
      <w:r w:rsidRPr="00481EB7">
        <w:rPr>
          <w:rFonts w:ascii="Georgia" w:hAnsi="Georgia"/>
          <w:color w:val="1F497D" w:themeColor="text2"/>
          <w:sz w:val="52"/>
          <w:szCs w:val="52"/>
        </w:rPr>
        <w:t>тыс.</w:t>
      </w:r>
      <w:r w:rsidR="00CA5525">
        <w:rPr>
          <w:rFonts w:ascii="Georgia" w:hAnsi="Georgia"/>
          <w:color w:val="1F497D" w:themeColor="text2"/>
          <w:sz w:val="52"/>
          <w:szCs w:val="52"/>
        </w:rPr>
        <w:t xml:space="preserve"> </w:t>
      </w:r>
      <w:r w:rsidRPr="00481EB7">
        <w:rPr>
          <w:rFonts w:ascii="Georgia" w:hAnsi="Georgia"/>
          <w:color w:val="1F497D" w:themeColor="text2"/>
          <w:sz w:val="52"/>
          <w:szCs w:val="52"/>
        </w:rPr>
        <w:t>руб.</w:t>
      </w:r>
    </w:p>
    <w:p w:rsidR="00945494" w:rsidRDefault="00E15AAE" w:rsidP="005F7D75">
      <w:r>
        <w:rPr>
          <w:noProof/>
          <w:lang w:eastAsia="ru-RU"/>
        </w:rPr>
        <w:drawing>
          <wp:inline distT="0" distB="0" distL="0" distR="0">
            <wp:extent cx="6010275" cy="3829050"/>
            <wp:effectExtent l="1905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5540B6">
        <w:rPr>
          <w:noProof/>
          <w:lang w:eastAsia="ru-RU"/>
        </w:rPr>
        <w:drawing>
          <wp:inline distT="0" distB="0" distL="0" distR="0">
            <wp:extent cx="2705100" cy="3208856"/>
            <wp:effectExtent l="133350" t="76200" r="114300" b="86794"/>
            <wp:docPr id="21" name="Рисунок 20" descr="zaymi-i-kredi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ymi-i-kredit[1]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2088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D1066" w:rsidRDefault="009D1066" w:rsidP="0061527F">
      <w:pPr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</w:rPr>
      </w:pPr>
    </w:p>
    <w:p w:rsidR="00AF28FC" w:rsidRDefault="005F7D75" w:rsidP="0061527F">
      <w:pPr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</w:rPr>
      </w:pPr>
      <w:r w:rsidRPr="00AF28FC">
        <w:rPr>
          <w:rFonts w:ascii="Times New Roman" w:hAnsi="Times New Roman" w:cs="Times New Roman"/>
          <w:color w:val="0D0D0D" w:themeColor="text1" w:themeTint="F2"/>
          <w:sz w:val="52"/>
          <w:szCs w:val="52"/>
        </w:rPr>
        <w:lastRenderedPageBreak/>
        <w:t xml:space="preserve">Динамика расходов </w:t>
      </w:r>
      <w:r w:rsidR="00847E1A" w:rsidRPr="00AF28FC">
        <w:rPr>
          <w:rFonts w:ascii="Times New Roman" w:hAnsi="Times New Roman" w:cs="Times New Roman"/>
          <w:color w:val="0D0D0D" w:themeColor="text1" w:themeTint="F2"/>
          <w:sz w:val="52"/>
          <w:szCs w:val="52"/>
        </w:rPr>
        <w:t>бюджета Горняцкого</w:t>
      </w:r>
      <w:r w:rsidRPr="00AF28FC">
        <w:rPr>
          <w:rFonts w:ascii="Times New Roman" w:hAnsi="Times New Roman" w:cs="Times New Roman"/>
          <w:color w:val="0D0D0D" w:themeColor="text1" w:themeTint="F2"/>
          <w:sz w:val="52"/>
          <w:szCs w:val="52"/>
        </w:rPr>
        <w:t xml:space="preserve"> сельского поселения Белокалитвинского района </w:t>
      </w:r>
    </w:p>
    <w:p w:rsidR="00945494" w:rsidRPr="00AF28FC" w:rsidRDefault="00B94C55" w:rsidP="0061527F">
      <w:pPr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8343900" cy="3819525"/>
            <wp:effectExtent l="57150" t="0" r="38100" b="2857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481EB7" w:rsidRPr="00AF28FC">
        <w:rPr>
          <w:rFonts w:ascii="Times New Roman" w:hAnsi="Times New Roman" w:cs="Times New Roman"/>
          <w:color w:val="0D0D0D" w:themeColor="text1" w:themeTint="F2"/>
          <w:sz w:val="52"/>
          <w:szCs w:val="52"/>
        </w:rPr>
        <w:t xml:space="preserve">       тыс.</w:t>
      </w:r>
      <w:r w:rsidR="00F54888">
        <w:rPr>
          <w:rFonts w:ascii="Times New Roman" w:hAnsi="Times New Roman" w:cs="Times New Roman"/>
          <w:color w:val="0D0D0D" w:themeColor="text1" w:themeTint="F2"/>
          <w:sz w:val="52"/>
          <w:szCs w:val="52"/>
        </w:rPr>
        <w:t xml:space="preserve"> </w:t>
      </w:r>
      <w:r w:rsidR="00481EB7" w:rsidRPr="00AF28FC">
        <w:rPr>
          <w:rFonts w:ascii="Times New Roman" w:hAnsi="Times New Roman" w:cs="Times New Roman"/>
          <w:color w:val="0D0D0D" w:themeColor="text1" w:themeTint="F2"/>
          <w:sz w:val="52"/>
          <w:szCs w:val="52"/>
        </w:rPr>
        <w:t>руб.</w:t>
      </w:r>
    </w:p>
    <w:p w:rsidR="00945494" w:rsidRDefault="00945494" w:rsidP="000F3485">
      <w:pPr>
        <w:jc w:val="right"/>
      </w:pPr>
    </w:p>
    <w:p w:rsidR="00945494" w:rsidRDefault="00945494" w:rsidP="0061527F">
      <w:pPr>
        <w:jc w:val="center"/>
      </w:pPr>
    </w:p>
    <w:p w:rsidR="00A4627F" w:rsidRDefault="00A4627F" w:rsidP="0061527F">
      <w:pPr>
        <w:jc w:val="center"/>
      </w:pPr>
    </w:p>
    <w:p w:rsidR="00945494" w:rsidRPr="00AF28FC" w:rsidRDefault="00847E1A" w:rsidP="00BF5BF4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AF28FC">
        <w:rPr>
          <w:rFonts w:ascii="Times New Roman" w:hAnsi="Times New Roman" w:cs="Times New Roman"/>
          <w:color w:val="C00000"/>
          <w:sz w:val="40"/>
          <w:szCs w:val="40"/>
        </w:rPr>
        <w:lastRenderedPageBreak/>
        <w:t>Расходы бюджета Горняцкого</w:t>
      </w:r>
      <w:r w:rsidR="009645B8" w:rsidRPr="00AF28FC">
        <w:rPr>
          <w:rFonts w:ascii="Times New Roman" w:hAnsi="Times New Roman" w:cs="Times New Roman"/>
          <w:color w:val="C00000"/>
          <w:sz w:val="40"/>
          <w:szCs w:val="40"/>
        </w:rPr>
        <w:t xml:space="preserve"> сельского поселения</w:t>
      </w:r>
      <w:r w:rsidR="00C33A69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  <w:proofErr w:type="spellStart"/>
      <w:r w:rsidR="00C33A69">
        <w:rPr>
          <w:rFonts w:ascii="Times New Roman" w:hAnsi="Times New Roman" w:cs="Times New Roman"/>
          <w:color w:val="C00000"/>
          <w:sz w:val="40"/>
          <w:szCs w:val="40"/>
        </w:rPr>
        <w:t>Белокалитвинского</w:t>
      </w:r>
      <w:proofErr w:type="spellEnd"/>
      <w:r w:rsidR="00244CF7">
        <w:rPr>
          <w:rFonts w:ascii="Times New Roman" w:hAnsi="Times New Roman" w:cs="Times New Roman"/>
          <w:color w:val="C00000"/>
          <w:sz w:val="40"/>
          <w:szCs w:val="40"/>
        </w:rPr>
        <w:t xml:space="preserve"> района в 2026</w:t>
      </w:r>
      <w:r w:rsidR="009645B8" w:rsidRPr="00AF28FC">
        <w:rPr>
          <w:rFonts w:ascii="Times New Roman" w:hAnsi="Times New Roman" w:cs="Times New Roman"/>
          <w:color w:val="C00000"/>
          <w:sz w:val="40"/>
          <w:szCs w:val="40"/>
        </w:rPr>
        <w:t xml:space="preserve"> году</w:t>
      </w:r>
    </w:p>
    <w:p w:rsidR="009645B8" w:rsidRPr="00BF5BF4" w:rsidRDefault="00244CF7" w:rsidP="00BF5BF4">
      <w:pPr>
        <w:tabs>
          <w:tab w:val="center" w:pos="7285"/>
          <w:tab w:val="left" w:pos="8655"/>
        </w:tabs>
        <w:rPr>
          <w:sz w:val="36"/>
          <w:szCs w:val="36"/>
        </w:rPr>
      </w:pPr>
      <w:r>
        <w:rPr>
          <w:sz w:val="36"/>
          <w:szCs w:val="36"/>
        </w:rPr>
        <w:t>213 </w:t>
      </w:r>
      <w:r w:rsidR="00382E5E">
        <w:rPr>
          <w:sz w:val="36"/>
          <w:szCs w:val="36"/>
        </w:rPr>
        <w:t>1</w:t>
      </w:r>
      <w:r>
        <w:rPr>
          <w:sz w:val="36"/>
          <w:szCs w:val="36"/>
        </w:rPr>
        <w:t>25,0</w:t>
      </w:r>
      <w:r w:rsidR="009645B8" w:rsidRPr="00BF5BF4">
        <w:rPr>
          <w:sz w:val="36"/>
          <w:szCs w:val="36"/>
        </w:rPr>
        <w:t xml:space="preserve"> тыс. рублей</w:t>
      </w:r>
      <w:r w:rsidR="009645B8" w:rsidRPr="00BF5BF4">
        <w:rPr>
          <w:sz w:val="36"/>
          <w:szCs w:val="36"/>
        </w:rPr>
        <w:tab/>
      </w:r>
    </w:p>
    <w:p w:rsidR="00945494" w:rsidRDefault="00945494" w:rsidP="0061527F">
      <w:pPr>
        <w:jc w:val="center"/>
      </w:pPr>
    </w:p>
    <w:p w:rsidR="00945494" w:rsidRDefault="009645B8" w:rsidP="006152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543925" cy="4267200"/>
            <wp:effectExtent l="57150" t="19050" r="28575" b="3810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45494" w:rsidRPr="00355C86" w:rsidRDefault="00087B71" w:rsidP="0061527F">
      <w:pPr>
        <w:jc w:val="center"/>
        <w:rPr>
          <w:rFonts w:ascii="Georgia" w:hAnsi="Georgia"/>
          <w:color w:val="FF0000"/>
          <w:sz w:val="40"/>
          <w:szCs w:val="40"/>
        </w:rPr>
      </w:pPr>
      <w:r w:rsidRPr="00355C86">
        <w:rPr>
          <w:rFonts w:ascii="Georgia" w:hAnsi="Georgia"/>
          <w:color w:val="FF0000"/>
          <w:sz w:val="40"/>
          <w:szCs w:val="40"/>
        </w:rPr>
        <w:lastRenderedPageBreak/>
        <w:t>Динам</w:t>
      </w:r>
      <w:r w:rsidR="00847E1A">
        <w:rPr>
          <w:rFonts w:ascii="Georgia" w:hAnsi="Georgia"/>
          <w:color w:val="FF0000"/>
          <w:sz w:val="40"/>
          <w:szCs w:val="40"/>
        </w:rPr>
        <w:t>ика расходов бюджета Горняцкого</w:t>
      </w:r>
      <w:r w:rsidRPr="00355C86">
        <w:rPr>
          <w:rFonts w:ascii="Georgia" w:hAnsi="Georgia"/>
          <w:color w:val="FF0000"/>
          <w:sz w:val="40"/>
          <w:szCs w:val="40"/>
        </w:rPr>
        <w:t xml:space="preserve"> сельского поселения Белокалитвинского района</w:t>
      </w:r>
      <w:r w:rsidR="00355C86">
        <w:rPr>
          <w:rFonts w:ascii="Georgia" w:hAnsi="Georgia"/>
          <w:color w:val="FF0000"/>
          <w:sz w:val="40"/>
          <w:szCs w:val="40"/>
        </w:rPr>
        <w:t xml:space="preserve"> на культуру</w:t>
      </w:r>
    </w:p>
    <w:p w:rsidR="00945494" w:rsidRDefault="00355C86" w:rsidP="00B66E2C">
      <w:r>
        <w:rPr>
          <w:noProof/>
          <w:lang w:eastAsia="ru-RU"/>
        </w:rPr>
        <w:drawing>
          <wp:inline distT="0" distB="0" distL="0" distR="0">
            <wp:extent cx="8801100" cy="33337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45494" w:rsidRDefault="00945494" w:rsidP="0061527F">
      <w:pPr>
        <w:jc w:val="center"/>
      </w:pPr>
    </w:p>
    <w:p w:rsidR="00945494" w:rsidRDefault="00945494" w:rsidP="00B66E2C"/>
    <w:p w:rsidR="00AF28FC" w:rsidRDefault="00AF28FC" w:rsidP="0061527F">
      <w:pPr>
        <w:jc w:val="center"/>
        <w:rPr>
          <w:rFonts w:ascii="Georgia" w:hAnsi="Georgia"/>
          <w:color w:val="FF0000"/>
          <w:sz w:val="72"/>
          <w:szCs w:val="72"/>
        </w:rPr>
      </w:pPr>
    </w:p>
    <w:p w:rsidR="00C33A69" w:rsidRDefault="00C33A69" w:rsidP="0061527F">
      <w:pPr>
        <w:jc w:val="center"/>
        <w:rPr>
          <w:rFonts w:ascii="Georgia" w:hAnsi="Georgia"/>
          <w:color w:val="FF0000"/>
          <w:sz w:val="72"/>
          <w:szCs w:val="72"/>
        </w:rPr>
      </w:pPr>
    </w:p>
    <w:p w:rsidR="00945494" w:rsidRPr="00D835D2" w:rsidRDefault="0037184D" w:rsidP="0061527F">
      <w:pPr>
        <w:jc w:val="center"/>
        <w:rPr>
          <w:rFonts w:ascii="Georgia" w:hAnsi="Georgia"/>
          <w:color w:val="FF0000"/>
          <w:sz w:val="72"/>
          <w:szCs w:val="72"/>
        </w:rPr>
      </w:pPr>
      <w:r w:rsidRPr="00D835D2">
        <w:rPr>
          <w:rFonts w:ascii="Georgia" w:hAnsi="Georgia"/>
          <w:color w:val="FF0000"/>
          <w:sz w:val="72"/>
          <w:szCs w:val="72"/>
        </w:rPr>
        <w:lastRenderedPageBreak/>
        <w:t>Культура и кинематография</w:t>
      </w:r>
    </w:p>
    <w:p w:rsidR="00A4627F" w:rsidRDefault="00A4627F"/>
    <w:p w:rsidR="00945494" w:rsidRDefault="00BC746F" w:rsidP="006152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01000" cy="4972050"/>
            <wp:effectExtent l="19050" t="0" r="76200" b="0"/>
            <wp:docPr id="30" name="Схема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945494" w:rsidRPr="00365EF5" w:rsidRDefault="00CB393F" w:rsidP="0061527F">
      <w:pPr>
        <w:jc w:val="center"/>
        <w:rPr>
          <w:rFonts w:ascii="Georgia" w:hAnsi="Georgia"/>
          <w:color w:val="FF0000"/>
          <w:sz w:val="52"/>
          <w:szCs w:val="52"/>
        </w:rPr>
      </w:pPr>
      <w:r>
        <w:rPr>
          <w:rFonts w:ascii="Georgia" w:hAnsi="Georgia"/>
          <w:color w:val="FF0000"/>
          <w:sz w:val="52"/>
          <w:szCs w:val="52"/>
        </w:rPr>
        <w:lastRenderedPageBreak/>
        <w:t>Расходы бюджета Горняцкого</w:t>
      </w:r>
      <w:r w:rsidR="00365EF5" w:rsidRPr="00365EF5">
        <w:rPr>
          <w:rFonts w:ascii="Georgia" w:hAnsi="Georgia"/>
          <w:color w:val="FF0000"/>
          <w:sz w:val="52"/>
          <w:szCs w:val="52"/>
        </w:rPr>
        <w:t xml:space="preserve"> сельского поселения Белокалитвинского района на реали</w:t>
      </w:r>
      <w:r w:rsidR="002F3985">
        <w:rPr>
          <w:rFonts w:ascii="Georgia" w:hAnsi="Georgia"/>
          <w:color w:val="FF0000"/>
          <w:sz w:val="52"/>
          <w:szCs w:val="52"/>
        </w:rPr>
        <w:t xml:space="preserve">зацию муниципальных </w:t>
      </w:r>
      <w:r w:rsidR="00365EF5" w:rsidRPr="00365EF5">
        <w:rPr>
          <w:rFonts w:ascii="Georgia" w:hAnsi="Georgia"/>
          <w:color w:val="FF0000"/>
          <w:sz w:val="52"/>
          <w:szCs w:val="52"/>
        </w:rPr>
        <w:t xml:space="preserve"> целевых программ</w:t>
      </w:r>
    </w:p>
    <w:p w:rsidR="00005171" w:rsidRDefault="00365EF5" w:rsidP="00365EF5">
      <w:pPr>
        <w:rPr>
          <w:sz w:val="32"/>
          <w:szCs w:val="32"/>
        </w:rPr>
      </w:pPr>
      <w:r w:rsidRPr="00365EF5">
        <w:rPr>
          <w:sz w:val="32"/>
          <w:szCs w:val="32"/>
        </w:rPr>
        <w:t>Тыс. рублей</w:t>
      </w:r>
    </w:p>
    <w:p w:rsidR="00005171" w:rsidRDefault="00005171" w:rsidP="00005171">
      <w:pPr>
        <w:rPr>
          <w:sz w:val="32"/>
          <w:szCs w:val="32"/>
        </w:rPr>
      </w:pPr>
    </w:p>
    <w:p w:rsidR="00945494" w:rsidRDefault="00005171" w:rsidP="00005171">
      <w:pPr>
        <w:tabs>
          <w:tab w:val="left" w:pos="1065"/>
        </w:tabs>
      </w:pPr>
      <w:r>
        <w:rPr>
          <w:sz w:val="32"/>
          <w:szCs w:val="32"/>
        </w:rPr>
        <w:tab/>
      </w:r>
      <w:bookmarkStart w:id="0" w:name="_GoBack"/>
      <w:r w:rsidR="00CA7913">
        <w:rPr>
          <w:noProof/>
          <w:lang w:eastAsia="ru-RU"/>
        </w:rPr>
        <w:drawing>
          <wp:inline distT="0" distB="0" distL="0" distR="0">
            <wp:extent cx="7324725" cy="4057650"/>
            <wp:effectExtent l="19050" t="0" r="9525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bookmarkEnd w:id="0"/>
    </w:p>
    <w:p w:rsidR="00945494" w:rsidRPr="00D94CDE" w:rsidRDefault="00D94CDE" w:rsidP="0061527F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D94CDE">
        <w:rPr>
          <w:rFonts w:ascii="Times New Roman" w:hAnsi="Times New Roman" w:cs="Times New Roman"/>
          <w:color w:val="C00000"/>
          <w:sz w:val="36"/>
          <w:szCs w:val="36"/>
        </w:rPr>
        <w:lastRenderedPageBreak/>
        <w:t>Объем</w:t>
      </w:r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межбюджетных трансфертов</w:t>
      </w:r>
      <w:r w:rsidR="00FF451B" w:rsidRPr="00D94CDE">
        <w:rPr>
          <w:rFonts w:ascii="Times New Roman" w:hAnsi="Times New Roman" w:cs="Times New Roman"/>
          <w:color w:val="C00000"/>
          <w:sz w:val="36"/>
          <w:szCs w:val="36"/>
        </w:rPr>
        <w:t>,</w:t>
      </w:r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FF451B" w:rsidRPr="00D94CDE">
        <w:rPr>
          <w:rFonts w:ascii="Times New Roman" w:hAnsi="Times New Roman" w:cs="Times New Roman"/>
          <w:color w:val="C00000"/>
          <w:sz w:val="36"/>
          <w:szCs w:val="36"/>
        </w:rPr>
        <w:t>перечисляемых из местного бюджета бюджету Белокалитвинского района</w:t>
      </w:r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на финансирование расходов</w:t>
      </w:r>
      <w:r w:rsidR="00FF451B" w:rsidRPr="00D94CDE">
        <w:rPr>
          <w:rFonts w:ascii="Times New Roman" w:hAnsi="Times New Roman" w:cs="Times New Roman"/>
          <w:color w:val="C00000"/>
          <w:sz w:val="36"/>
          <w:szCs w:val="36"/>
        </w:rPr>
        <w:t>,</w:t>
      </w:r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FF451B" w:rsidRPr="00D94CDE">
        <w:rPr>
          <w:rFonts w:ascii="Times New Roman" w:hAnsi="Times New Roman" w:cs="Times New Roman"/>
          <w:color w:val="C00000"/>
          <w:sz w:val="36"/>
          <w:szCs w:val="36"/>
        </w:rPr>
        <w:t>связанных</w:t>
      </w:r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с передачей </w:t>
      </w:r>
      <w:proofErr w:type="gramStart"/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>осуществления части полномочий органов мес</w:t>
      </w:r>
      <w:r w:rsidRPr="00D94CDE">
        <w:rPr>
          <w:rFonts w:ascii="Times New Roman" w:hAnsi="Times New Roman" w:cs="Times New Roman"/>
          <w:color w:val="C00000"/>
          <w:sz w:val="36"/>
          <w:szCs w:val="36"/>
        </w:rPr>
        <w:t>тного самоуправления Горняцкого</w:t>
      </w:r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сельского поселения</w:t>
      </w:r>
      <w:proofErr w:type="gramEnd"/>
      <w:r w:rsidR="00F33D9A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органам местного самоуправления Белокалитвинского района  </w:t>
      </w:r>
      <w:r w:rsidR="00FF451B" w:rsidRPr="00D94CDE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</w:p>
    <w:p w:rsidR="00945494" w:rsidRDefault="00945494" w:rsidP="0061527F">
      <w:pPr>
        <w:jc w:val="center"/>
      </w:pPr>
    </w:p>
    <w:tbl>
      <w:tblPr>
        <w:tblStyle w:val="a5"/>
        <w:tblW w:w="14992" w:type="dxa"/>
        <w:tblLayout w:type="fixed"/>
        <w:tblLook w:val="04A0"/>
      </w:tblPr>
      <w:tblGrid>
        <w:gridCol w:w="10456"/>
        <w:gridCol w:w="1134"/>
        <w:gridCol w:w="1134"/>
        <w:gridCol w:w="1134"/>
        <w:gridCol w:w="1134"/>
      </w:tblGrid>
      <w:tr w:rsidR="00641EE9" w:rsidRPr="00641EE9" w:rsidTr="0014432D">
        <w:tc>
          <w:tcPr>
            <w:tcW w:w="10456" w:type="dxa"/>
            <w:shd w:val="clear" w:color="auto" w:fill="C2D69B" w:themeFill="accent3" w:themeFillTint="99"/>
          </w:tcPr>
          <w:p w:rsidR="00E40DA7" w:rsidRPr="00B56144" w:rsidRDefault="00E40DA7" w:rsidP="00641EE9">
            <w:pPr>
              <w:jc w:val="center"/>
              <w:rPr>
                <w:rFonts w:ascii="Times New Roman" w:hAnsi="Times New Roman" w:cs="Times New Roman"/>
                <w:color w:val="1E04BC"/>
                <w:sz w:val="28"/>
                <w:szCs w:val="28"/>
              </w:rPr>
            </w:pPr>
            <w:r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>Наименование передоваемого полномочия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641EE9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1E04BC"/>
                <w:sz w:val="28"/>
                <w:szCs w:val="28"/>
              </w:rPr>
            </w:pPr>
            <w:r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>2025</w:t>
            </w:r>
          </w:p>
          <w:p w:rsidR="00E40DA7" w:rsidRPr="00B56144" w:rsidRDefault="00E40DA7" w:rsidP="0061527F">
            <w:pPr>
              <w:jc w:val="center"/>
              <w:rPr>
                <w:rFonts w:ascii="Times New Roman" w:hAnsi="Times New Roman" w:cs="Times New Roman"/>
                <w:color w:val="1E04BC"/>
                <w:sz w:val="28"/>
                <w:szCs w:val="28"/>
              </w:rPr>
            </w:pPr>
            <w:r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>год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40DA7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1E04BC"/>
                <w:sz w:val="28"/>
                <w:szCs w:val="28"/>
              </w:rPr>
            </w:pPr>
            <w:r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>2026</w:t>
            </w:r>
            <w:r w:rsidR="00E40DA7"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40DA7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1E04BC"/>
                <w:sz w:val="28"/>
                <w:szCs w:val="28"/>
              </w:rPr>
            </w:pPr>
            <w:r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>2027</w:t>
            </w:r>
            <w:r w:rsidR="00E40DA7"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40DA7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1E04BC"/>
                <w:sz w:val="28"/>
                <w:szCs w:val="28"/>
              </w:rPr>
            </w:pPr>
            <w:r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>2028</w:t>
            </w:r>
            <w:r w:rsidR="00131F39"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 xml:space="preserve"> </w:t>
            </w:r>
            <w:r w:rsidR="00E40DA7" w:rsidRPr="00B56144">
              <w:rPr>
                <w:rFonts w:ascii="Times New Roman" w:hAnsi="Times New Roman" w:cs="Times New Roman"/>
                <w:color w:val="1E04BC"/>
                <w:sz w:val="28"/>
                <w:szCs w:val="28"/>
              </w:rPr>
              <w:t>год</w:t>
            </w:r>
          </w:p>
        </w:tc>
      </w:tr>
      <w:tr w:rsidR="002F3985" w:rsidRPr="00641EE9" w:rsidTr="00641EE9">
        <w:trPr>
          <w:trHeight w:val="393"/>
        </w:trPr>
        <w:tc>
          <w:tcPr>
            <w:tcW w:w="10456" w:type="dxa"/>
            <w:shd w:val="clear" w:color="auto" w:fill="FDE9D9" w:themeFill="accent6" w:themeFillTint="33"/>
          </w:tcPr>
          <w:p w:rsidR="002F3985" w:rsidRPr="00B56144" w:rsidRDefault="00B56144" w:rsidP="00F20E4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передачей полномочий органов местного самоуправления Горняцкого  сельского поселения органам местного самоуправления </w:t>
            </w:r>
            <w:proofErr w:type="spellStart"/>
            <w:r w:rsidRPr="00B56144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56144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области культуры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ED72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75,0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79,7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79,7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79,7</w:t>
            </w:r>
          </w:p>
        </w:tc>
      </w:tr>
      <w:tr w:rsidR="002F3985" w:rsidRPr="00641EE9" w:rsidTr="00641EE9">
        <w:tc>
          <w:tcPr>
            <w:tcW w:w="10456" w:type="dxa"/>
            <w:shd w:val="clear" w:color="auto" w:fill="FDE9D9" w:themeFill="accent6" w:themeFillTint="33"/>
          </w:tcPr>
          <w:p w:rsidR="002F3985" w:rsidRPr="00B56144" w:rsidRDefault="00B56144" w:rsidP="00F20E4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передачей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ED72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127,5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161,1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161,1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F3985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161,1</w:t>
            </w:r>
          </w:p>
        </w:tc>
      </w:tr>
      <w:tr w:rsidR="00BD3C1A" w:rsidRPr="00641EE9" w:rsidTr="00B56144">
        <w:trPr>
          <w:trHeight w:val="1287"/>
        </w:trPr>
        <w:tc>
          <w:tcPr>
            <w:tcW w:w="10456" w:type="dxa"/>
            <w:shd w:val="clear" w:color="auto" w:fill="FDE9D9" w:themeFill="accent6" w:themeFillTint="33"/>
          </w:tcPr>
          <w:p w:rsidR="00BD3C1A" w:rsidRPr="00B56144" w:rsidRDefault="00B56144" w:rsidP="00F20E4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организацию исполнительно-распорядительных функций, связанных с реализацией переданных полномочий органов местного самоуправления Горняцкого сельского поселения органам местного самоуправления </w:t>
            </w:r>
            <w:proofErr w:type="spellStart"/>
            <w:r w:rsidRPr="00B56144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5614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BD3C1A" w:rsidRPr="00B56144" w:rsidRDefault="0097152A" w:rsidP="00ED72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275,2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BD3C1A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293,3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BD3C1A" w:rsidRPr="00B56144" w:rsidRDefault="0097152A" w:rsidP="00E1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BD3C1A" w:rsidRPr="00B56144" w:rsidRDefault="0097152A" w:rsidP="00E1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</w:tr>
      <w:tr w:rsidR="0097152A" w:rsidRPr="00641EE9" w:rsidTr="00641EE9">
        <w:tc>
          <w:tcPr>
            <w:tcW w:w="10456" w:type="dxa"/>
            <w:shd w:val="clear" w:color="auto" w:fill="FDE9D9" w:themeFill="accent6" w:themeFillTint="33"/>
          </w:tcPr>
          <w:p w:rsidR="0097152A" w:rsidRPr="00B56144" w:rsidRDefault="00B56144" w:rsidP="00F20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Расходы, связанные с передачей полномочий органов местного самоуправления поселений органам местного самоуправления муниципального района </w:t>
            </w:r>
            <w:r w:rsidRPr="00B5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7152A" w:rsidRPr="00B56144" w:rsidRDefault="0097152A" w:rsidP="00ED72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83,5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7152A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142,4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7152A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142,4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7152A" w:rsidRPr="00B56144" w:rsidRDefault="0097152A" w:rsidP="00BD3C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142,4</w:t>
            </w:r>
          </w:p>
        </w:tc>
      </w:tr>
      <w:tr w:rsidR="00CA5C20" w:rsidRPr="00641EE9" w:rsidTr="00641EE9">
        <w:tc>
          <w:tcPr>
            <w:tcW w:w="10456" w:type="dxa"/>
            <w:shd w:val="clear" w:color="auto" w:fill="FDE9D9" w:themeFill="accent6" w:themeFillTint="33"/>
          </w:tcPr>
          <w:p w:rsidR="00CA5C20" w:rsidRPr="00B56144" w:rsidRDefault="00B56144" w:rsidP="00F20E4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sz w:val="24"/>
                <w:szCs w:val="24"/>
              </w:rPr>
              <w:t>Расходы, связанные</w:t>
            </w:r>
            <w:r w:rsidR="00CA5C20" w:rsidRPr="00B56144">
              <w:rPr>
                <w:rFonts w:ascii="Times New Roman" w:hAnsi="Times New Roman" w:cs="Times New Roman"/>
                <w:sz w:val="24"/>
                <w:szCs w:val="24"/>
              </w:rPr>
              <w:t xml:space="preserve"> с передачей переданных полномочий органов местного самоуправления Горняцкого сельского поселения органам местного самоуправления Белокалитвинского района по осуществлению внешнего муниципального финансового контроля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A5C20" w:rsidRPr="00B56144" w:rsidRDefault="0097152A" w:rsidP="00ED72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86,1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A5C20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91,8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A5C20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91,8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A5C20" w:rsidRPr="00B56144" w:rsidRDefault="0097152A" w:rsidP="00BD3C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91,8</w:t>
            </w:r>
          </w:p>
        </w:tc>
      </w:tr>
      <w:tr w:rsidR="00C706DD" w:rsidRPr="00641EE9" w:rsidTr="00641EE9">
        <w:tc>
          <w:tcPr>
            <w:tcW w:w="10456" w:type="dxa"/>
            <w:shd w:val="clear" w:color="auto" w:fill="FDE9D9" w:themeFill="accent6" w:themeFillTint="33"/>
          </w:tcPr>
          <w:p w:rsidR="00C706DD" w:rsidRPr="00B56144" w:rsidRDefault="00B56144" w:rsidP="004824EB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sz w:val="24"/>
                <w:szCs w:val="24"/>
              </w:rPr>
              <w:t>Расходы, связанные</w:t>
            </w:r>
            <w:r w:rsidR="00C706DD" w:rsidRPr="00B56144">
              <w:rPr>
                <w:rFonts w:ascii="Times New Roman" w:hAnsi="Times New Roman" w:cs="Times New Roman"/>
                <w:sz w:val="24"/>
                <w:szCs w:val="24"/>
              </w:rPr>
              <w:t xml:space="preserve"> с передачей переданных полномочий органов местного самоуправления Горняцкого сельского поселения органам местного самоуправления </w:t>
            </w:r>
            <w:proofErr w:type="spellStart"/>
            <w:r w:rsidR="00C706DD" w:rsidRPr="00B56144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C706DD" w:rsidRPr="00B5614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осуществлению внутреннего муниципального финансового контроля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97152A" w:rsidP="00ED72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70,4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76,5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76,5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97152A" w:rsidP="00BD3C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76,5</w:t>
            </w:r>
          </w:p>
        </w:tc>
      </w:tr>
      <w:tr w:rsidR="00C706DD" w:rsidRPr="00641EE9" w:rsidTr="00641EE9">
        <w:trPr>
          <w:trHeight w:val="703"/>
        </w:trPr>
        <w:tc>
          <w:tcPr>
            <w:tcW w:w="10456" w:type="dxa"/>
            <w:shd w:val="clear" w:color="auto" w:fill="FDE9D9" w:themeFill="accent6" w:themeFillTint="33"/>
          </w:tcPr>
          <w:p w:rsidR="00C706DD" w:rsidRPr="00B56144" w:rsidRDefault="00C706DD" w:rsidP="00F20E4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97152A" w:rsidP="00ED72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717,7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97152A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844,8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B56144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844,8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C706DD" w:rsidRPr="00B56144" w:rsidRDefault="00B56144" w:rsidP="0061527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561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844,8</w:t>
            </w:r>
          </w:p>
        </w:tc>
      </w:tr>
    </w:tbl>
    <w:p w:rsidR="00945494" w:rsidRDefault="00945494" w:rsidP="008C6A0B">
      <w:pPr>
        <w:jc w:val="center"/>
      </w:pPr>
    </w:p>
    <w:sectPr w:rsidR="00945494" w:rsidSect="00746CAF">
      <w:pgSz w:w="16838" w:h="11906" w:orient="landscape"/>
      <w:pgMar w:top="993" w:right="1134" w:bottom="850" w:left="1134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44" w:rsidRDefault="00063D44" w:rsidP="001268EE">
      <w:pPr>
        <w:spacing w:after="0" w:line="240" w:lineRule="auto"/>
      </w:pPr>
      <w:r>
        <w:separator/>
      </w:r>
    </w:p>
  </w:endnote>
  <w:endnote w:type="continuationSeparator" w:id="0">
    <w:p w:rsidR="00063D44" w:rsidRDefault="00063D44" w:rsidP="0012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44" w:rsidRDefault="00063D44" w:rsidP="001268EE">
      <w:pPr>
        <w:spacing w:after="0" w:line="240" w:lineRule="auto"/>
      </w:pPr>
      <w:r>
        <w:separator/>
      </w:r>
    </w:p>
  </w:footnote>
  <w:footnote w:type="continuationSeparator" w:id="0">
    <w:p w:rsidR="00063D44" w:rsidRDefault="00063D44" w:rsidP="00126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50E9D"/>
    <w:multiLevelType w:val="hybridMultilevel"/>
    <w:tmpl w:val="3AA43070"/>
    <w:lvl w:ilvl="0" w:tplc="9C34D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04A0E"/>
    <w:multiLevelType w:val="hybridMultilevel"/>
    <w:tmpl w:val="74569280"/>
    <w:lvl w:ilvl="0" w:tplc="C4101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5ED"/>
    <w:rsid w:val="000043C2"/>
    <w:rsid w:val="00005171"/>
    <w:rsid w:val="00011186"/>
    <w:rsid w:val="00013D16"/>
    <w:rsid w:val="00027171"/>
    <w:rsid w:val="00051B2E"/>
    <w:rsid w:val="00063D44"/>
    <w:rsid w:val="000657A3"/>
    <w:rsid w:val="00070AC3"/>
    <w:rsid w:val="000743AA"/>
    <w:rsid w:val="000803E5"/>
    <w:rsid w:val="0008211F"/>
    <w:rsid w:val="00085D24"/>
    <w:rsid w:val="00087B71"/>
    <w:rsid w:val="000B0125"/>
    <w:rsid w:val="000B497A"/>
    <w:rsid w:val="000B513B"/>
    <w:rsid w:val="000C2E5D"/>
    <w:rsid w:val="000C6CEF"/>
    <w:rsid w:val="000D0280"/>
    <w:rsid w:val="000D1700"/>
    <w:rsid w:val="000F03B5"/>
    <w:rsid w:val="000F2472"/>
    <w:rsid w:val="000F2DAE"/>
    <w:rsid w:val="000F3485"/>
    <w:rsid w:val="0010167C"/>
    <w:rsid w:val="00102AD1"/>
    <w:rsid w:val="0011595C"/>
    <w:rsid w:val="001164E9"/>
    <w:rsid w:val="00122769"/>
    <w:rsid w:val="001268EE"/>
    <w:rsid w:val="00131F39"/>
    <w:rsid w:val="001331B9"/>
    <w:rsid w:val="0014432D"/>
    <w:rsid w:val="00151437"/>
    <w:rsid w:val="001704A1"/>
    <w:rsid w:val="00170DC4"/>
    <w:rsid w:val="00172445"/>
    <w:rsid w:val="00173E43"/>
    <w:rsid w:val="001903F8"/>
    <w:rsid w:val="00192A27"/>
    <w:rsid w:val="00194210"/>
    <w:rsid w:val="0019509C"/>
    <w:rsid w:val="001956E1"/>
    <w:rsid w:val="001A2237"/>
    <w:rsid w:val="001A3695"/>
    <w:rsid w:val="001A5C07"/>
    <w:rsid w:val="001A7E0E"/>
    <w:rsid w:val="001B24E7"/>
    <w:rsid w:val="001D2002"/>
    <w:rsid w:val="001D3720"/>
    <w:rsid w:val="001E3645"/>
    <w:rsid w:val="00200ACD"/>
    <w:rsid w:val="00205101"/>
    <w:rsid w:val="002119C3"/>
    <w:rsid w:val="002122A0"/>
    <w:rsid w:val="00224104"/>
    <w:rsid w:val="00237370"/>
    <w:rsid w:val="00244CF7"/>
    <w:rsid w:val="00252601"/>
    <w:rsid w:val="00254EDD"/>
    <w:rsid w:val="00261790"/>
    <w:rsid w:val="00265A03"/>
    <w:rsid w:val="002705ED"/>
    <w:rsid w:val="00276ECE"/>
    <w:rsid w:val="002800E8"/>
    <w:rsid w:val="0029064B"/>
    <w:rsid w:val="002926F7"/>
    <w:rsid w:val="00294258"/>
    <w:rsid w:val="002A78CD"/>
    <w:rsid w:val="002B5571"/>
    <w:rsid w:val="002C37F5"/>
    <w:rsid w:val="002C4B50"/>
    <w:rsid w:val="002D4C13"/>
    <w:rsid w:val="002D5C4B"/>
    <w:rsid w:val="002E32CE"/>
    <w:rsid w:val="002E3448"/>
    <w:rsid w:val="002E489B"/>
    <w:rsid w:val="002E5092"/>
    <w:rsid w:val="002E5236"/>
    <w:rsid w:val="002F3985"/>
    <w:rsid w:val="00302EF6"/>
    <w:rsid w:val="00310830"/>
    <w:rsid w:val="00322FE3"/>
    <w:rsid w:val="00334986"/>
    <w:rsid w:val="00335AC9"/>
    <w:rsid w:val="003372EE"/>
    <w:rsid w:val="00342828"/>
    <w:rsid w:val="00343CF2"/>
    <w:rsid w:val="00345C84"/>
    <w:rsid w:val="00355C86"/>
    <w:rsid w:val="00355D7D"/>
    <w:rsid w:val="00357979"/>
    <w:rsid w:val="00360284"/>
    <w:rsid w:val="003652E6"/>
    <w:rsid w:val="00365EF5"/>
    <w:rsid w:val="0037184D"/>
    <w:rsid w:val="00375ADA"/>
    <w:rsid w:val="00382E5E"/>
    <w:rsid w:val="003A1BB3"/>
    <w:rsid w:val="003B63FB"/>
    <w:rsid w:val="003C127B"/>
    <w:rsid w:val="003C3478"/>
    <w:rsid w:val="003C4ECF"/>
    <w:rsid w:val="003D339B"/>
    <w:rsid w:val="003E08E3"/>
    <w:rsid w:val="003E6725"/>
    <w:rsid w:val="003F4DAF"/>
    <w:rsid w:val="004015EB"/>
    <w:rsid w:val="00406D7E"/>
    <w:rsid w:val="00416E2C"/>
    <w:rsid w:val="004377DB"/>
    <w:rsid w:val="004557D7"/>
    <w:rsid w:val="00472F86"/>
    <w:rsid w:val="00481EB7"/>
    <w:rsid w:val="00482E8C"/>
    <w:rsid w:val="00484381"/>
    <w:rsid w:val="00487C79"/>
    <w:rsid w:val="00495D7B"/>
    <w:rsid w:val="004A0FB0"/>
    <w:rsid w:val="004A7D49"/>
    <w:rsid w:val="004B5915"/>
    <w:rsid w:val="004C7372"/>
    <w:rsid w:val="004C79EB"/>
    <w:rsid w:val="004D07FC"/>
    <w:rsid w:val="004D2943"/>
    <w:rsid w:val="004D4751"/>
    <w:rsid w:val="004F735A"/>
    <w:rsid w:val="00523B20"/>
    <w:rsid w:val="00524E83"/>
    <w:rsid w:val="005251D3"/>
    <w:rsid w:val="005540B6"/>
    <w:rsid w:val="00554C22"/>
    <w:rsid w:val="005665A0"/>
    <w:rsid w:val="00567611"/>
    <w:rsid w:val="00580C8E"/>
    <w:rsid w:val="0058635E"/>
    <w:rsid w:val="005864C5"/>
    <w:rsid w:val="00586912"/>
    <w:rsid w:val="00587636"/>
    <w:rsid w:val="0059468E"/>
    <w:rsid w:val="00596FDA"/>
    <w:rsid w:val="005A5B16"/>
    <w:rsid w:val="005A5B9C"/>
    <w:rsid w:val="005A6DCA"/>
    <w:rsid w:val="005B5F18"/>
    <w:rsid w:val="005C05C3"/>
    <w:rsid w:val="005D1AA9"/>
    <w:rsid w:val="005D1ACD"/>
    <w:rsid w:val="005D263E"/>
    <w:rsid w:val="005F1169"/>
    <w:rsid w:val="005F26F7"/>
    <w:rsid w:val="005F7D75"/>
    <w:rsid w:val="00605624"/>
    <w:rsid w:val="00610EC6"/>
    <w:rsid w:val="0061394E"/>
    <w:rsid w:val="006145AD"/>
    <w:rsid w:val="0061527F"/>
    <w:rsid w:val="00615F96"/>
    <w:rsid w:val="00621BF2"/>
    <w:rsid w:val="00623AF7"/>
    <w:rsid w:val="00641063"/>
    <w:rsid w:val="00641EE9"/>
    <w:rsid w:val="00645902"/>
    <w:rsid w:val="006734CE"/>
    <w:rsid w:val="00674664"/>
    <w:rsid w:val="006771B0"/>
    <w:rsid w:val="0068170B"/>
    <w:rsid w:val="006821FB"/>
    <w:rsid w:val="00693B4F"/>
    <w:rsid w:val="006A082E"/>
    <w:rsid w:val="006C1CB4"/>
    <w:rsid w:val="006E1923"/>
    <w:rsid w:val="006E197D"/>
    <w:rsid w:val="006F0BF0"/>
    <w:rsid w:val="006F2E37"/>
    <w:rsid w:val="006F5882"/>
    <w:rsid w:val="006F5DBD"/>
    <w:rsid w:val="006F7322"/>
    <w:rsid w:val="00701AC8"/>
    <w:rsid w:val="00703A7C"/>
    <w:rsid w:val="00706178"/>
    <w:rsid w:val="00706C8F"/>
    <w:rsid w:val="00715E0F"/>
    <w:rsid w:val="00730478"/>
    <w:rsid w:val="00731840"/>
    <w:rsid w:val="0073533F"/>
    <w:rsid w:val="007422C1"/>
    <w:rsid w:val="00746CAF"/>
    <w:rsid w:val="007532C4"/>
    <w:rsid w:val="00757D79"/>
    <w:rsid w:val="00793156"/>
    <w:rsid w:val="007974E4"/>
    <w:rsid w:val="007B0B38"/>
    <w:rsid w:val="007B2141"/>
    <w:rsid w:val="007B5392"/>
    <w:rsid w:val="007C51FD"/>
    <w:rsid w:val="007D0D2A"/>
    <w:rsid w:val="007D1338"/>
    <w:rsid w:val="007D13B6"/>
    <w:rsid w:val="007E1040"/>
    <w:rsid w:val="007E3850"/>
    <w:rsid w:val="007E6EA2"/>
    <w:rsid w:val="007F1CB5"/>
    <w:rsid w:val="007F3E82"/>
    <w:rsid w:val="007F7222"/>
    <w:rsid w:val="00800740"/>
    <w:rsid w:val="00801F8E"/>
    <w:rsid w:val="00811E9B"/>
    <w:rsid w:val="0082291F"/>
    <w:rsid w:val="008302E1"/>
    <w:rsid w:val="008423D1"/>
    <w:rsid w:val="0084509C"/>
    <w:rsid w:val="00847E1A"/>
    <w:rsid w:val="008842C3"/>
    <w:rsid w:val="008A2EEB"/>
    <w:rsid w:val="008A6B79"/>
    <w:rsid w:val="008A7CF6"/>
    <w:rsid w:val="008C002D"/>
    <w:rsid w:val="008C6A0B"/>
    <w:rsid w:val="008E229A"/>
    <w:rsid w:val="008F16F6"/>
    <w:rsid w:val="008F1F92"/>
    <w:rsid w:val="008F3C80"/>
    <w:rsid w:val="008F7A89"/>
    <w:rsid w:val="009134AD"/>
    <w:rsid w:val="009225D6"/>
    <w:rsid w:val="00937267"/>
    <w:rsid w:val="00942888"/>
    <w:rsid w:val="00945494"/>
    <w:rsid w:val="009503FD"/>
    <w:rsid w:val="009506ED"/>
    <w:rsid w:val="00956459"/>
    <w:rsid w:val="00962CF3"/>
    <w:rsid w:val="009645B8"/>
    <w:rsid w:val="00967B9C"/>
    <w:rsid w:val="0097152A"/>
    <w:rsid w:val="00982FC1"/>
    <w:rsid w:val="009A05B6"/>
    <w:rsid w:val="009B64D6"/>
    <w:rsid w:val="009B6545"/>
    <w:rsid w:val="009B6D8C"/>
    <w:rsid w:val="009C0E8D"/>
    <w:rsid w:val="009D1066"/>
    <w:rsid w:val="009D44C2"/>
    <w:rsid w:val="009D4561"/>
    <w:rsid w:val="009E6C3F"/>
    <w:rsid w:val="009E6E09"/>
    <w:rsid w:val="009F4EF2"/>
    <w:rsid w:val="009F62E3"/>
    <w:rsid w:val="00A00A0E"/>
    <w:rsid w:val="00A06194"/>
    <w:rsid w:val="00A065D8"/>
    <w:rsid w:val="00A066D2"/>
    <w:rsid w:val="00A073F3"/>
    <w:rsid w:val="00A17C3C"/>
    <w:rsid w:val="00A22E36"/>
    <w:rsid w:val="00A26EB2"/>
    <w:rsid w:val="00A4627F"/>
    <w:rsid w:val="00A469F1"/>
    <w:rsid w:val="00A46A18"/>
    <w:rsid w:val="00A46C93"/>
    <w:rsid w:val="00A524AB"/>
    <w:rsid w:val="00A65C90"/>
    <w:rsid w:val="00A72F9B"/>
    <w:rsid w:val="00A85829"/>
    <w:rsid w:val="00A96668"/>
    <w:rsid w:val="00AA59C9"/>
    <w:rsid w:val="00AA6167"/>
    <w:rsid w:val="00AC2BBF"/>
    <w:rsid w:val="00AC5963"/>
    <w:rsid w:val="00AD0048"/>
    <w:rsid w:val="00AE01ED"/>
    <w:rsid w:val="00AE18F5"/>
    <w:rsid w:val="00AE39A6"/>
    <w:rsid w:val="00AE3EA5"/>
    <w:rsid w:val="00AF28FC"/>
    <w:rsid w:val="00B03DBE"/>
    <w:rsid w:val="00B06962"/>
    <w:rsid w:val="00B13CA2"/>
    <w:rsid w:val="00B14311"/>
    <w:rsid w:val="00B15A37"/>
    <w:rsid w:val="00B2227A"/>
    <w:rsid w:val="00B30781"/>
    <w:rsid w:val="00B331DA"/>
    <w:rsid w:val="00B40024"/>
    <w:rsid w:val="00B436E9"/>
    <w:rsid w:val="00B56144"/>
    <w:rsid w:val="00B61E1D"/>
    <w:rsid w:val="00B66E2C"/>
    <w:rsid w:val="00B67D4E"/>
    <w:rsid w:val="00B7420C"/>
    <w:rsid w:val="00B904CF"/>
    <w:rsid w:val="00B907B7"/>
    <w:rsid w:val="00B90BBC"/>
    <w:rsid w:val="00B94C55"/>
    <w:rsid w:val="00B95306"/>
    <w:rsid w:val="00BA2F96"/>
    <w:rsid w:val="00BA45A7"/>
    <w:rsid w:val="00BA5E6C"/>
    <w:rsid w:val="00BB2A64"/>
    <w:rsid w:val="00BB3E50"/>
    <w:rsid w:val="00BC746F"/>
    <w:rsid w:val="00BD253C"/>
    <w:rsid w:val="00BD2BCC"/>
    <w:rsid w:val="00BD3C1A"/>
    <w:rsid w:val="00BD7B4F"/>
    <w:rsid w:val="00BE6ABF"/>
    <w:rsid w:val="00BF01FB"/>
    <w:rsid w:val="00BF5BF4"/>
    <w:rsid w:val="00BF7BF1"/>
    <w:rsid w:val="00C01573"/>
    <w:rsid w:val="00C03F7F"/>
    <w:rsid w:val="00C056F0"/>
    <w:rsid w:val="00C06E6B"/>
    <w:rsid w:val="00C07E2B"/>
    <w:rsid w:val="00C20F36"/>
    <w:rsid w:val="00C313E8"/>
    <w:rsid w:val="00C33A69"/>
    <w:rsid w:val="00C44D23"/>
    <w:rsid w:val="00C706DD"/>
    <w:rsid w:val="00C72043"/>
    <w:rsid w:val="00C72281"/>
    <w:rsid w:val="00C85E80"/>
    <w:rsid w:val="00C86E32"/>
    <w:rsid w:val="00C97F96"/>
    <w:rsid w:val="00CA5525"/>
    <w:rsid w:val="00CA5C20"/>
    <w:rsid w:val="00CA6198"/>
    <w:rsid w:val="00CA7913"/>
    <w:rsid w:val="00CA7D89"/>
    <w:rsid w:val="00CB393F"/>
    <w:rsid w:val="00CC537A"/>
    <w:rsid w:val="00CD1886"/>
    <w:rsid w:val="00CD535C"/>
    <w:rsid w:val="00CF5CF7"/>
    <w:rsid w:val="00CF6A62"/>
    <w:rsid w:val="00CF723C"/>
    <w:rsid w:val="00D168ED"/>
    <w:rsid w:val="00D36B3F"/>
    <w:rsid w:val="00D475C3"/>
    <w:rsid w:val="00D53733"/>
    <w:rsid w:val="00D5439E"/>
    <w:rsid w:val="00D55499"/>
    <w:rsid w:val="00D633EA"/>
    <w:rsid w:val="00D71CA4"/>
    <w:rsid w:val="00D71E43"/>
    <w:rsid w:val="00D82748"/>
    <w:rsid w:val="00D835D2"/>
    <w:rsid w:val="00D9007A"/>
    <w:rsid w:val="00D945A8"/>
    <w:rsid w:val="00D94CDE"/>
    <w:rsid w:val="00DA28C3"/>
    <w:rsid w:val="00DB3E91"/>
    <w:rsid w:val="00DC52B1"/>
    <w:rsid w:val="00DC73C3"/>
    <w:rsid w:val="00DD4280"/>
    <w:rsid w:val="00DD5A37"/>
    <w:rsid w:val="00DD5F2B"/>
    <w:rsid w:val="00DD63DB"/>
    <w:rsid w:val="00DD7880"/>
    <w:rsid w:val="00DE09BC"/>
    <w:rsid w:val="00DE0CDA"/>
    <w:rsid w:val="00DE748C"/>
    <w:rsid w:val="00DF0730"/>
    <w:rsid w:val="00DF2DD1"/>
    <w:rsid w:val="00DF5D4F"/>
    <w:rsid w:val="00DF66B3"/>
    <w:rsid w:val="00DF6F48"/>
    <w:rsid w:val="00DF7EAC"/>
    <w:rsid w:val="00E10DE8"/>
    <w:rsid w:val="00E13674"/>
    <w:rsid w:val="00E15AAE"/>
    <w:rsid w:val="00E40DA7"/>
    <w:rsid w:val="00E6673A"/>
    <w:rsid w:val="00E67B4C"/>
    <w:rsid w:val="00E76D05"/>
    <w:rsid w:val="00E87FF9"/>
    <w:rsid w:val="00E94049"/>
    <w:rsid w:val="00E95636"/>
    <w:rsid w:val="00E9744D"/>
    <w:rsid w:val="00EA2789"/>
    <w:rsid w:val="00EB30A4"/>
    <w:rsid w:val="00EB42F2"/>
    <w:rsid w:val="00EC6A97"/>
    <w:rsid w:val="00ED24AA"/>
    <w:rsid w:val="00ED51BA"/>
    <w:rsid w:val="00EE16AC"/>
    <w:rsid w:val="00EE172F"/>
    <w:rsid w:val="00EF122C"/>
    <w:rsid w:val="00EF17E5"/>
    <w:rsid w:val="00EF2274"/>
    <w:rsid w:val="00EF3A53"/>
    <w:rsid w:val="00F007EC"/>
    <w:rsid w:val="00F108BF"/>
    <w:rsid w:val="00F20E47"/>
    <w:rsid w:val="00F25A13"/>
    <w:rsid w:val="00F32E78"/>
    <w:rsid w:val="00F33D9A"/>
    <w:rsid w:val="00F35A13"/>
    <w:rsid w:val="00F37A14"/>
    <w:rsid w:val="00F40389"/>
    <w:rsid w:val="00F44AD5"/>
    <w:rsid w:val="00F45307"/>
    <w:rsid w:val="00F54888"/>
    <w:rsid w:val="00F56EEE"/>
    <w:rsid w:val="00F56F18"/>
    <w:rsid w:val="00F577EF"/>
    <w:rsid w:val="00F65168"/>
    <w:rsid w:val="00F70257"/>
    <w:rsid w:val="00F76AC8"/>
    <w:rsid w:val="00F775A7"/>
    <w:rsid w:val="00F80A69"/>
    <w:rsid w:val="00F867EC"/>
    <w:rsid w:val="00F87631"/>
    <w:rsid w:val="00F90EBF"/>
    <w:rsid w:val="00F91598"/>
    <w:rsid w:val="00F95781"/>
    <w:rsid w:val="00FA0EFD"/>
    <w:rsid w:val="00FA43EA"/>
    <w:rsid w:val="00FD7B8E"/>
    <w:rsid w:val="00FE50BB"/>
    <w:rsid w:val="00FE7076"/>
    <w:rsid w:val="00FF451B"/>
    <w:rsid w:val="00FF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5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5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4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68EE"/>
  </w:style>
  <w:style w:type="paragraph" w:styleId="a9">
    <w:name w:val="footer"/>
    <w:basedOn w:val="a"/>
    <w:link w:val="aa"/>
    <w:uiPriority w:val="99"/>
    <w:unhideWhenUsed/>
    <w:rsid w:val="0012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6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chart" Target="charts/chart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8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microsoft.com/office/2007/relationships/diagramDrawing" Target="diagrams/drawing1.xml"/><Relationship Id="rId10" Type="http://schemas.openxmlformats.org/officeDocument/2006/relationships/chart" Target="charts/chart1.xml"/><Relationship Id="rId19" Type="http://schemas.openxmlformats.org/officeDocument/2006/relationships/diagramData" Target="diagrams/data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chart" Target="charts/chart4.xml"/><Relationship Id="rId22" Type="http://schemas.openxmlformats.org/officeDocument/2006/relationships/diagramColors" Target="diagrams/colors1.xm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476508115397699E-2"/>
          <c:y val="1.886777696805959E-2"/>
          <c:w val="0.91523492433816145"/>
          <c:h val="0.9340833439903532"/>
        </c:manualLayout>
      </c:layout>
      <c:barChart>
        <c:barDir val="col"/>
        <c:grouping val="stacked"/>
        <c:ser>
          <c:idx val="0"/>
          <c:order val="0"/>
          <c:tx>
            <c:strRef>
              <c:f>Лист1!$A$1</c:f>
              <c:strCache>
                <c:ptCount val="1"/>
                <c:pt idx="0">
                  <c:v>Столбец1</c:v>
                </c:pt>
              </c:strCache>
            </c:strRef>
          </c:tx>
          <c:val>
            <c:numRef>
              <c:f>Лист1!$A$2:$A$5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-9.663089903105852E-3"/>
                  <c:y val="-2.71035612134998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269160,3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9326179806211706E-3"/>
                  <c:y val="-4.21610952209995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196237,0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185219,7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103121,6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val>
            <c:numRef>
              <c:f>Лист1!$B$2:$B$5</c:f>
              <c:numCache>
                <c:formatCode>General</c:formatCode>
                <c:ptCount val="4"/>
                <c:pt idx="0">
                  <c:v>269160.3</c:v>
                </c:pt>
                <c:pt idx="1">
                  <c:v>196237</c:v>
                </c:pt>
                <c:pt idx="2">
                  <c:v>185219.7</c:v>
                </c:pt>
                <c:pt idx="3">
                  <c:v>103121.60000000002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15116,1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16888,0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7.086184068741255E-17"/>
                  <c:y val="-1.50577711340196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16891,7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16895,6</a:t>
                    </a:r>
                    <a:endParaRPr lang="en-US"/>
                  </a:p>
                </c:rich>
              </c:tx>
              <c:showVal val="1"/>
            </c:dLbl>
            <c:delete val="1"/>
          </c:dLbls>
          <c:val>
            <c:numRef>
              <c:f>Лист1!$C$2:$C$5</c:f>
              <c:numCache>
                <c:formatCode>General</c:formatCode>
                <c:ptCount val="4"/>
                <c:pt idx="0">
                  <c:v>15116.1</c:v>
                </c:pt>
                <c:pt idx="1">
                  <c:v>16888</c:v>
                </c:pt>
                <c:pt idx="2">
                  <c:v>16891.7</c:v>
                </c:pt>
                <c:pt idx="3">
                  <c:v>16895.599999999995</c:v>
                </c:pt>
              </c:numCache>
            </c:numRef>
          </c:val>
        </c:ser>
        <c:ser>
          <c:idx val="3"/>
          <c:order val="3"/>
          <c:tx>
            <c:strRef>
              <c:f>Лист1!$D$1</c:f>
              <c:strCache>
                <c:ptCount val="1"/>
              </c:strCache>
            </c:strRef>
          </c:tx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tx>
            <c:strRef>
              <c:f>Лист1!$E$1</c:f>
              <c:strCache>
                <c:ptCount val="1"/>
              </c:strCache>
            </c:strRef>
          </c:tx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overlap val="100"/>
        <c:axId val="81659776"/>
        <c:axId val="84715392"/>
      </c:barChart>
      <c:catAx>
        <c:axId val="8165977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          2025                                                   2026                                        2027                           2028 </a:t>
                </a:r>
              </a:p>
            </c:rich>
          </c:tx>
          <c:layout>
            <c:manualLayout>
              <c:xMode val="edge"/>
              <c:yMode val="edge"/>
              <c:x val="0.20778409220586566"/>
              <c:y val="0.84027846406332429"/>
            </c:manualLayout>
          </c:layout>
        </c:title>
        <c:numFmt formatCode="General" sourceLinked="1"/>
        <c:tickLblPos val="none"/>
        <c:crossAx val="84715392"/>
        <c:crosses val="autoZero"/>
        <c:auto val="1"/>
        <c:lblAlgn val="ctr"/>
        <c:lblOffset val="100"/>
      </c:catAx>
      <c:valAx>
        <c:axId val="84715392"/>
        <c:scaling>
          <c:orientation val="minMax"/>
          <c:max val="300000"/>
        </c:scaling>
        <c:axPos val="l"/>
        <c:majorGridlines/>
        <c:numFmt formatCode="General" sourceLinked="1"/>
        <c:tickLblPos val="nextTo"/>
        <c:crossAx val="81659776"/>
        <c:crosses val="autoZero"/>
        <c:crossBetween val="between"/>
      </c:valAx>
      <c:spPr>
        <a:gradFill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2700000" scaled="1"/>
        </a:gradFill>
        <a:ln>
          <a:solidFill>
            <a:schemeClr val="accent5">
              <a:lumMod val="50000"/>
            </a:schemeClr>
          </a:solidFill>
        </a:ln>
        <a:effectLst/>
        <a:scene3d>
          <a:camera prst="orthographicFront"/>
          <a:lightRig rig="threePt" dir="t"/>
        </a:scene3d>
        <a:sp3d prstMaterial="matte"/>
      </c:spPr>
    </c:plotArea>
    <c:plotVisOnly val="1"/>
    <c:dispBlanksAs val="gap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autoTitleDeleted val="1"/>
    <c:plotArea>
      <c:layout/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Percent val="1"/>
            </c:dLbl>
            <c:dLbl>
              <c:idx val="2"/>
              <c:delete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0%</a:t>
                    </a:r>
                  </a:p>
                </c:rich>
              </c:tx>
              <c:dLblPos val="bestFit"/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0,</a:t>
                    </a:r>
                    <a:r>
                      <a:rPr lang="en-US"/>
                      <a:t>2%</a:t>
                    </a:r>
                  </a:p>
                </c:rich>
              </c:tx>
              <c:dLblPos val="bestFit"/>
              <c:showPercent val="1"/>
            </c:dLbl>
            <c:dLblPos val="bestFit"/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НДФЛ- 4112,9</c:v>
                </c:pt>
                <c:pt idx="1">
                  <c:v>Налоги на имущество- 12518,4</c:v>
                </c:pt>
                <c:pt idx="2">
                  <c:v>Налоги на совокупный налог- 21,2</c:v>
                </c:pt>
                <c:pt idx="3">
                  <c:v>Госпошлина -24,7</c:v>
                </c:pt>
                <c:pt idx="4">
                  <c:v>Неналоговые доходы- 208,3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4112.9000000000005</c:v>
                </c:pt>
                <c:pt idx="1">
                  <c:v>12518.4</c:v>
                </c:pt>
                <c:pt idx="2">
                  <c:v>21.2</c:v>
                </c:pt>
                <c:pt idx="3">
                  <c:v>24.7</c:v>
                </c:pt>
                <c:pt idx="4">
                  <c:v>208.3</c:v>
                </c:pt>
              </c:numCache>
            </c:numRef>
          </c:val>
        </c:ser>
        <c:dLbls>
          <c:showPercent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0.64939389018962912"/>
          <c:y val="0.13677948151217961"/>
          <c:w val="0.24775238461046051"/>
          <c:h val="0.26437007874015772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cat>
            <c:strRef>
              <c:f>Лист1!$A$2:$A$7</c:f>
              <c:strCache>
                <c:ptCount val="6"/>
                <c:pt idx="0">
                  <c:v>Факт 2023</c:v>
                </c:pt>
                <c:pt idx="1">
                  <c:v>Факт 2024</c:v>
                </c:pt>
                <c:pt idx="2">
                  <c:v>Факт 2025</c:v>
                </c:pt>
                <c:pt idx="3">
                  <c:v>Проект2026</c:v>
                </c:pt>
                <c:pt idx="4">
                  <c:v>Проект2027</c:v>
                </c:pt>
                <c:pt idx="5">
                  <c:v>Проект2028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2329.6999999999998</c:v>
                </c:pt>
                <c:pt idx="1">
                  <c:v>2588.5</c:v>
                </c:pt>
                <c:pt idx="2">
                  <c:v>2811.4</c:v>
                </c:pt>
                <c:pt idx="3">
                  <c:v>4112.9000000000005</c:v>
                </c:pt>
                <c:pt idx="4">
                  <c:v>4112.9000000000005</c:v>
                </c:pt>
                <c:pt idx="5">
                  <c:v>4112.9000000000005</c:v>
                </c:pt>
              </c:numCache>
            </c:numRef>
          </c:val>
        </c:ser>
        <c:ser>
          <c:idx val="1"/>
          <c:order val="1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dLbls>
            <c:delete val="1"/>
          </c:dLbls>
          <c:cat>
            <c:strRef>
              <c:f>Лист1!$A$2:$A$7</c:f>
              <c:strCache>
                <c:ptCount val="6"/>
                <c:pt idx="0">
                  <c:v>Факт 2023</c:v>
                </c:pt>
                <c:pt idx="1">
                  <c:v>Факт 2024</c:v>
                </c:pt>
                <c:pt idx="2">
                  <c:v>Факт 2025</c:v>
                </c:pt>
                <c:pt idx="3">
                  <c:v>Проект2026</c:v>
                </c:pt>
                <c:pt idx="4">
                  <c:v>Проект2027</c:v>
                </c:pt>
                <c:pt idx="5">
                  <c:v>Проект2028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dLbls>
            <c:delete val="1"/>
          </c:dLbls>
          <c:cat>
            <c:strRef>
              <c:f>Лист1!$A$2:$A$7</c:f>
              <c:strCache>
                <c:ptCount val="6"/>
                <c:pt idx="0">
                  <c:v>Факт 2023</c:v>
                </c:pt>
                <c:pt idx="1">
                  <c:v>Факт 2024</c:v>
                </c:pt>
                <c:pt idx="2">
                  <c:v>Факт 2025</c:v>
                </c:pt>
                <c:pt idx="3">
                  <c:v>Проект2026</c:v>
                </c:pt>
                <c:pt idx="4">
                  <c:v>Проект2027</c:v>
                </c:pt>
                <c:pt idx="5">
                  <c:v>Проект2028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Val val="1"/>
        </c:dLbls>
        <c:gapWidth val="75"/>
        <c:axId val="121163776"/>
        <c:axId val="121165696"/>
      </c:barChart>
      <c:catAx>
        <c:axId val="121163776"/>
        <c:scaling>
          <c:orientation val="minMax"/>
        </c:scaling>
        <c:axPos val="b"/>
        <c:majorTickMark val="none"/>
        <c:tickLblPos val="nextTo"/>
        <c:crossAx val="121165696"/>
        <c:crosses val="autoZero"/>
        <c:auto val="1"/>
        <c:lblAlgn val="ctr"/>
        <c:lblOffset val="100"/>
      </c:catAx>
      <c:valAx>
        <c:axId val="121165696"/>
        <c:scaling>
          <c:orientation val="minMax"/>
        </c:scaling>
        <c:axPos val="l"/>
        <c:numFmt formatCode="General" sourceLinked="1"/>
        <c:majorTickMark val="none"/>
        <c:tickLblPos val="nextTo"/>
        <c:crossAx val="12116377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8.4639887525945146E-2"/>
          <c:y val="2.2195530643415412E-3"/>
          <c:w val="0.87590950497273423"/>
          <c:h val="0.93127407581514998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поступления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103121,6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2025 год</c:v>
                </c:pt>
                <c:pt idx="1">
                  <c:v>2026год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269159.59999999998</c:v>
                </c:pt>
                <c:pt idx="1">
                  <c:v>196237</c:v>
                </c:pt>
                <c:pt idx="2">
                  <c:v>185219.7</c:v>
                </c:pt>
                <c:pt idx="3">
                  <c:v>103121.60000000002</c:v>
                </c:pt>
              </c:numCache>
            </c:numRef>
          </c:val>
        </c:ser>
        <c:dLbls>
          <c:showVal val="1"/>
        </c:dLbls>
        <c:gapWidth val="75"/>
        <c:axId val="121193984"/>
        <c:axId val="121195904"/>
      </c:barChart>
      <c:catAx>
        <c:axId val="121193984"/>
        <c:scaling>
          <c:orientation val="minMax"/>
        </c:scaling>
        <c:axPos val="l"/>
        <c:numFmt formatCode="General" sourceLinked="1"/>
        <c:majorTickMark val="none"/>
        <c:tickLblPos val="nextTo"/>
        <c:crossAx val="121195904"/>
        <c:crosses val="autoZero"/>
        <c:auto val="1"/>
        <c:lblAlgn val="ctr"/>
        <c:lblOffset val="100"/>
      </c:catAx>
      <c:valAx>
        <c:axId val="121195904"/>
        <c:scaling>
          <c:orientation val="minMax"/>
        </c:scaling>
        <c:axPos val="b"/>
        <c:numFmt formatCode="General" sourceLinked="1"/>
        <c:majorTickMark val="none"/>
        <c:tickLblPos val="nextTo"/>
        <c:crossAx val="121193984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7689950046566814E-2"/>
          <c:y val="2.086331516252787E-2"/>
          <c:w val="0.8446845000539317"/>
          <c:h val="0.87733369987105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283999,5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213125,0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0"/>
                  <c:y val="3.329358201978793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202111,4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120017,2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2025 год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 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283999.5</c:v>
                </c:pt>
                <c:pt idx="1">
                  <c:v>213125</c:v>
                </c:pt>
                <c:pt idx="2">
                  <c:v>202111.4</c:v>
                </c:pt>
                <c:pt idx="3">
                  <c:v>120017.2</c:v>
                </c:pt>
              </c:numCache>
            </c:numRef>
          </c:val>
        </c:ser>
        <c:dLbls>
          <c:showVal val="1"/>
        </c:dLbls>
        <c:gapWidth val="75"/>
        <c:overlap val="40"/>
        <c:axId val="122174464"/>
        <c:axId val="122279040"/>
      </c:barChart>
      <c:catAx>
        <c:axId val="122174464"/>
        <c:scaling>
          <c:orientation val="minMax"/>
        </c:scaling>
        <c:axPos val="b"/>
        <c:majorTickMark val="none"/>
        <c:tickLblPos val="nextTo"/>
        <c:spPr>
          <a:ln>
            <a:solidFill>
              <a:schemeClr val="accent5">
                <a:lumMod val="60000"/>
                <a:lumOff val="40000"/>
              </a:schemeClr>
            </a:solidFill>
          </a:ln>
        </c:spPr>
        <c:crossAx val="122279040"/>
        <c:crosses val="autoZero"/>
        <c:auto val="1"/>
        <c:lblAlgn val="ctr"/>
        <c:lblOffset val="100"/>
      </c:catAx>
      <c:valAx>
        <c:axId val="1222790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noFill/>
          <a:ln w="38100" cap="flat" cmpd="sng" algn="ctr">
            <a:solidFill>
              <a:schemeClr val="accent5"/>
            </a:solidFill>
            <a:prstDash val="solid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crossAx val="122174464"/>
        <c:crosses val="autoZero"/>
        <c:crossBetween val="between"/>
      </c:valAx>
      <c:spPr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plotVisOnly val="1"/>
    <c:dispBlanksAs val="gap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2"/>
  <c:chart>
    <c:autoTitleDeleted val="1"/>
    <c:view3D>
      <c:rotX val="90"/>
      <c:perspective val="2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Лист1!$A$2:$A$9</c:f>
              <c:strCache>
                <c:ptCount val="8"/>
                <c:pt idx="0">
                  <c:v>соцполитика-349,8</c:v>
                </c:pt>
                <c:pt idx="1">
                  <c:v>культура-22950,3</c:v>
                </c:pt>
                <c:pt idx="2">
                  <c:v>физкультура и спорт-10</c:v>
                </c:pt>
                <c:pt idx="3">
                  <c:v>нацэкономика-26787,3</c:v>
                </c:pt>
                <c:pt idx="4">
                  <c:v>ЖКХ-144552,2</c:v>
                </c:pt>
                <c:pt idx="5">
                  <c:v>образование 12,2</c:v>
                </c:pt>
                <c:pt idx="6">
                  <c:v>общегос-ые вопросы-17432,8</c:v>
                </c:pt>
                <c:pt idx="7">
                  <c:v>нацбезопастность и правоохранит. Деятельность,нацоборона-1030,4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349.8</c:v>
                </c:pt>
                <c:pt idx="1">
                  <c:v>22950.3</c:v>
                </c:pt>
                <c:pt idx="2">
                  <c:v>10</c:v>
                </c:pt>
                <c:pt idx="3">
                  <c:v>26787.3</c:v>
                </c:pt>
                <c:pt idx="4">
                  <c:v>144552.20000000001</c:v>
                </c:pt>
                <c:pt idx="5">
                  <c:v>12.2</c:v>
                </c:pt>
                <c:pt idx="6">
                  <c:v>17432.8</c:v>
                </c:pt>
                <c:pt idx="7">
                  <c:v>1030.4000000000001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spPr>
    <a:solidFill>
      <a:schemeClr val="dk1"/>
    </a:solidFill>
    <a:ln w="38100" cap="flat" cmpd="sng" algn="ctr">
      <a:solidFill>
        <a:schemeClr val="lt1"/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6"/>
  <c:chart>
    <c:autoTitleDeleted val="1"/>
    <c:plotArea>
      <c:layout/>
      <c:area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тыс.рублей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2025год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21562.7</c:v>
                </c:pt>
                <c:pt idx="1">
                  <c:v>22950.3</c:v>
                </c:pt>
                <c:pt idx="2">
                  <c:v>13048.9</c:v>
                </c:pt>
                <c:pt idx="3">
                  <c:v>11282.2</c:v>
                </c:pt>
              </c:numCache>
            </c:numRef>
          </c:val>
        </c:ser>
        <c:axId val="128279680"/>
        <c:axId val="128281216"/>
      </c:areaChart>
      <c:catAx>
        <c:axId val="128279680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38100" cap="flat" cmpd="sng" algn="ctr">
            <a:solidFill>
              <a:schemeClr val="accent1"/>
            </a:solidFill>
            <a:prstDash val="solid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crossAx val="128281216"/>
        <c:crosses val="autoZero"/>
        <c:auto val="1"/>
        <c:lblAlgn val="ctr"/>
        <c:lblOffset val="100"/>
      </c:catAx>
      <c:valAx>
        <c:axId val="1282812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noFill/>
          <a:ln w="38100" cap="flat" cmpd="sng" algn="ctr">
            <a:solidFill>
              <a:schemeClr val="accent1"/>
            </a:solidFill>
            <a:prstDash val="solid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crossAx val="128279680"/>
        <c:crosses val="autoZero"/>
        <c:crossBetween val="midCat"/>
      </c:valAx>
      <c:dTable>
        <c:showHorzBorder val="1"/>
        <c:showVertBorder val="1"/>
        <c:showOutline val="1"/>
        <c:showKeys val="1"/>
      </c:dTable>
      <c:spPr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c:spPr>
    </c:plotArea>
    <c:plotVisOnly val="1"/>
    <c:dispBlanksAs val="zero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6.2818331063623695E-2"/>
          <c:y val="1.9100218106539505E-2"/>
          <c:w val="0.93718166893637633"/>
          <c:h val="0.9178992766749246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1"/>
              <c:spPr>
                <a:gradFill rotWithShape="1">
                  <a:gsLst>
                    <a:gs pos="0">
                      <a:schemeClr val="accent1">
                        <a:shade val="51000"/>
                        <a:satMod val="130000"/>
                      </a:schemeClr>
                    </a:gs>
                    <a:gs pos="80000">
                      <a:schemeClr val="accent1">
                        <a:shade val="93000"/>
                        <a:satMod val="130000"/>
                      </a:schemeClr>
                    </a:gs>
                    <a:gs pos="100000">
                      <a:schemeClr val="accent1">
                        <a:shade val="94000"/>
                        <a:satMod val="135000"/>
                      </a:schemeClr>
                    </a:gs>
                  </a:gsLst>
                  <a:lin ang="16200000" scaled="0"/>
                </a:gradFill>
                <a:ln>
                  <a:noFill/>
                </a:ln>
                <a:effectLst>
                  <a:outerShdw blurRad="40000" dist="23000" dir="5400000" rotWithShape="0">
                    <a:srgbClr val="000000">
                      <a:alpha val="35000"/>
                    </a:srgbClr>
                  </a:outerShdw>
                </a:effectLst>
                <a:scene3d>
                  <a:camera prst="orthographicFront">
                    <a:rot lat="0" lon="0" rev="0"/>
                  </a:camera>
                  <a:lightRig rig="threePt" dir="t">
                    <a:rot lat="0" lon="0" rev="1200000"/>
                  </a:lightRig>
                </a:scene3d>
                <a:sp3d>
                  <a:bevelT w="63500" h="25400"/>
                </a:sp3d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2"/>
              <c:spPr>
                <a:gradFill rotWithShape="1">
                  <a:gsLst>
                    <a:gs pos="0">
                      <a:schemeClr val="accent2">
                        <a:shade val="51000"/>
                        <a:satMod val="130000"/>
                      </a:schemeClr>
                    </a:gs>
                    <a:gs pos="80000">
                      <a:schemeClr val="accent2">
                        <a:shade val="93000"/>
                        <a:satMod val="130000"/>
                      </a:schemeClr>
                    </a:gs>
                    <a:gs pos="100000">
                      <a:schemeClr val="accent2">
                        <a:shade val="94000"/>
                        <a:satMod val="135000"/>
                      </a:schemeClr>
                    </a:gs>
                  </a:gsLst>
                  <a:lin ang="16200000" scaled="0"/>
                </a:gradFill>
                <a:ln>
                  <a:noFill/>
                </a:ln>
                <a:effectLst>
                  <a:outerShdw blurRad="40000" dist="23000" dir="5400000" rotWithShape="0">
                    <a:srgbClr val="000000">
                      <a:alpha val="35000"/>
                    </a:srgbClr>
                  </a:outerShdw>
                </a:effectLst>
                <a:scene3d>
                  <a:camera prst="orthographicFront">
                    <a:rot lat="0" lon="0" rev="0"/>
                  </a:camera>
                  <a:lightRig rig="threePt" dir="t">
                    <a:rot lat="0" lon="0" rev="1200000"/>
                  </a:lightRig>
                </a:scene3d>
                <a:sp3d>
                  <a:bevelT w="63500" h="25400"/>
                </a:sp3d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2025год</c:v>
                </c:pt>
                <c:pt idx="1">
                  <c:v>2026 год 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282874.09999999998</c:v>
                </c:pt>
                <c:pt idx="1">
                  <c:v>211542.6</c:v>
                </c:pt>
                <c:pt idx="2">
                  <c:v>200363.4</c:v>
                </c:pt>
                <c:pt idx="3">
                  <c:v>117152.5</c:v>
                </c:pt>
              </c:numCache>
            </c:numRef>
          </c:val>
        </c:ser>
        <c:dLbls>
          <c:showVal val="1"/>
        </c:dLbls>
        <c:gapWidth val="75"/>
        <c:shape val="box"/>
        <c:axId val="121220096"/>
        <c:axId val="121221888"/>
        <c:axId val="0"/>
      </c:bar3DChart>
      <c:catAx>
        <c:axId val="121220096"/>
        <c:scaling>
          <c:orientation val="minMax"/>
        </c:scaling>
        <c:axPos val="b"/>
        <c:majorTickMark val="none"/>
        <c:tickLblPos val="nextTo"/>
        <c:spPr>
          <a:noFill/>
          <a:ln w="38100" cap="flat" cmpd="sng" algn="ctr">
            <a:solidFill>
              <a:schemeClr val="accent6"/>
            </a:solidFill>
            <a:prstDash val="solid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21888"/>
        <c:crosses val="autoZero"/>
        <c:auto val="1"/>
        <c:lblAlgn val="ctr"/>
        <c:lblOffset val="100"/>
      </c:catAx>
      <c:valAx>
        <c:axId val="1212218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38100" cap="flat" cmpd="sng" algn="ctr">
            <a:solidFill>
              <a:schemeClr val="accent6"/>
            </a:solidFill>
            <a:prstDash val="solid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20096"/>
        <c:crosses val="autoZero"/>
        <c:crossBetween val="between"/>
      </c:valAx>
      <c:spPr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250ED5-A426-428E-8F79-A8CEAB53C461}" type="doc">
      <dgm:prSet loTypeId="urn:microsoft.com/office/officeart/2005/8/layout/default#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27F652E-337A-43BB-B8B8-311FCA4DABFC}">
      <dgm:prSet phldrT="[Текст]" custT="1"/>
      <dgm:spPr/>
      <dgm:t>
        <a:bodyPr/>
        <a:lstStyle/>
        <a:p>
          <a:pPr algn="ctr"/>
          <a:r>
            <a:rPr lang="ru-RU" sz="1400" b="1" cap="none" spc="50">
              <a:ln w="11430"/>
              <a:effectLst/>
            </a:rPr>
            <a:t>Расходы на финансовое обеспечение выполнения муниципального задания муниципальным бюджетным учреждением культуры в</a:t>
          </a:r>
        </a:p>
        <a:p>
          <a:pPr algn="ctr"/>
          <a:r>
            <a:rPr lang="ru-RU" sz="1400" b="1" cap="none" spc="50">
              <a:ln w="11430"/>
              <a:effectLst/>
            </a:rPr>
            <a:t>2026году-22870,6  тыс.рублей</a:t>
          </a:r>
        </a:p>
        <a:p>
          <a:pPr algn="ctr"/>
          <a:r>
            <a:rPr lang="ru-RU" sz="1400" b="1" cap="none" spc="50">
              <a:ln w="11430"/>
              <a:effectLst/>
            </a:rPr>
            <a:t>2027году-12969,2 тыс.рублей</a:t>
          </a:r>
        </a:p>
        <a:p>
          <a:pPr algn="ctr"/>
          <a:r>
            <a:rPr lang="ru-RU" sz="1400" b="1" cap="none" spc="50">
              <a:ln w="11430"/>
              <a:effectLst/>
            </a:rPr>
            <a:t>2028году-11202,5 тыс.рублей</a:t>
          </a:r>
        </a:p>
        <a:p>
          <a:pPr algn="ctr"/>
          <a:endParaRPr lang="ru-RU" sz="1400"/>
        </a:p>
        <a:p>
          <a:pPr algn="ctr"/>
          <a:endParaRPr lang="ru-RU" sz="1200"/>
        </a:p>
      </dgm:t>
    </dgm:pt>
    <dgm:pt modelId="{9051FD25-CABB-485F-8C74-1A7977A854CF}" type="parTrans" cxnId="{26433D43-D07E-4778-B005-46113CE8E11F}">
      <dgm:prSet/>
      <dgm:spPr/>
      <dgm:t>
        <a:bodyPr/>
        <a:lstStyle/>
        <a:p>
          <a:endParaRPr lang="ru-RU"/>
        </a:p>
      </dgm:t>
    </dgm:pt>
    <dgm:pt modelId="{8229BA4F-7781-4EF9-BF44-C2F90D65BA54}" type="sibTrans" cxnId="{26433D43-D07E-4778-B005-46113CE8E11F}">
      <dgm:prSet/>
      <dgm:spPr/>
      <dgm:t>
        <a:bodyPr/>
        <a:lstStyle/>
        <a:p>
          <a:endParaRPr lang="ru-RU"/>
        </a:p>
      </dgm:t>
    </dgm:pt>
    <dgm:pt modelId="{EB6485E5-9102-4E7E-A1C4-328F3DE7375C}">
      <dgm:prSet phldrT="[Текст]" custT="1"/>
      <dgm:spPr/>
      <dgm:t>
        <a:bodyPr/>
        <a:lstStyle/>
        <a:p>
          <a:r>
            <a:rPr lang="ru-RU" sz="1600" b="1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Расходы на реализацию муниципальной  целевой программы</a:t>
          </a:r>
        </a:p>
        <a:p>
          <a:r>
            <a:rPr lang="ru-RU" sz="1600" b="1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2026 году-22946,0 тыс.рублей</a:t>
          </a:r>
        </a:p>
        <a:p>
          <a:r>
            <a:rPr lang="ru-RU" sz="1600" b="1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2027 году-13044,6 тыс.рублей</a:t>
          </a:r>
        </a:p>
        <a:p>
          <a:r>
            <a:rPr lang="ru-RU" sz="1600" b="1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2028 году-11277,9 тыс.рублей</a:t>
          </a:r>
        </a:p>
      </dgm:t>
    </dgm:pt>
    <dgm:pt modelId="{0268E105-3B40-4371-8575-322F4E956D2E}" type="parTrans" cxnId="{B22A8EA5-06BF-481C-A6AA-FC2703B41F67}">
      <dgm:prSet/>
      <dgm:spPr/>
      <dgm:t>
        <a:bodyPr/>
        <a:lstStyle/>
        <a:p>
          <a:endParaRPr lang="ru-RU"/>
        </a:p>
      </dgm:t>
    </dgm:pt>
    <dgm:pt modelId="{2B38678D-01F3-4D13-87E1-D3A3673EC767}" type="sibTrans" cxnId="{B22A8EA5-06BF-481C-A6AA-FC2703B41F67}">
      <dgm:prSet/>
      <dgm:spPr/>
      <dgm:t>
        <a:bodyPr/>
        <a:lstStyle/>
        <a:p>
          <a:endParaRPr lang="ru-RU"/>
        </a:p>
      </dgm:t>
    </dgm:pt>
    <dgm:pt modelId="{C63D4AF2-EFB1-4F89-BEC6-577B4C81A963}">
      <dgm:prSet phldrT="[Текст]" custT="1"/>
      <dgm:spPr/>
      <dgm:t>
        <a:bodyPr/>
        <a:lstStyle/>
        <a:p>
          <a:r>
            <a:rPr lang="ru-RU" sz="14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Общий объем расходов по отрасли "КУЛЬТУРА"</a:t>
          </a:r>
        </a:p>
        <a:p>
          <a:r>
            <a:rPr lang="ru-RU" sz="14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2026 году-22950,3 тыс.рублей</a:t>
          </a:r>
        </a:p>
        <a:p>
          <a:r>
            <a:rPr lang="ru-RU" sz="14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2027 году- 13048,9 тыс.рублей</a:t>
          </a:r>
        </a:p>
        <a:p>
          <a:r>
            <a:rPr lang="ru-RU" sz="14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2028 году- 11282,2 тыс.рублей</a:t>
          </a:r>
        </a:p>
        <a:p>
          <a:endParaRPr lang="ru-RU" sz="1400"/>
        </a:p>
      </dgm:t>
    </dgm:pt>
    <dgm:pt modelId="{AB589D49-E924-4AE1-AC36-9DB7F548CF6D}" type="parTrans" cxnId="{8241B89B-969C-429B-97DE-897466BD3E27}">
      <dgm:prSet/>
      <dgm:spPr/>
      <dgm:t>
        <a:bodyPr/>
        <a:lstStyle/>
        <a:p>
          <a:endParaRPr lang="ru-RU"/>
        </a:p>
      </dgm:t>
    </dgm:pt>
    <dgm:pt modelId="{9AE9136B-3492-4932-A69E-92AA515613A0}" type="sibTrans" cxnId="{8241B89B-969C-429B-97DE-897466BD3E27}">
      <dgm:prSet/>
      <dgm:spPr/>
      <dgm:t>
        <a:bodyPr/>
        <a:lstStyle/>
        <a:p>
          <a:endParaRPr lang="ru-RU"/>
        </a:p>
      </dgm:t>
    </dgm:pt>
    <dgm:pt modelId="{F261ADC7-CBF5-4BA8-845A-6432EDC71245}" type="pres">
      <dgm:prSet presAssocID="{43250ED5-A426-428E-8F79-A8CEAB53C46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EAC9AEF-720D-4BA2-B67F-E271FEA98FA2}" type="pres">
      <dgm:prSet presAssocID="{B27F652E-337A-43BB-B8B8-311FCA4DABFC}" presName="node" presStyleLbl="node1" presStyleIdx="0" presStyleCnt="3" custScaleX="130255" custScaleY="1654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294A28-9479-48AD-8CCE-F303C8F250B9}" type="pres">
      <dgm:prSet presAssocID="{8229BA4F-7781-4EF9-BF44-C2F90D65BA54}" presName="sibTrans" presStyleCnt="0"/>
      <dgm:spPr/>
    </dgm:pt>
    <dgm:pt modelId="{8645FF11-9FDA-440D-AC13-8AC2CE6B1CF5}" type="pres">
      <dgm:prSet presAssocID="{EB6485E5-9102-4E7E-A1C4-328F3DE7375C}" presName="node" presStyleLbl="node1" presStyleIdx="1" presStyleCnt="3" custScaleX="139733" custScaleY="1153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6DF675-9C77-4F92-9618-9A9E256C382A}" type="pres">
      <dgm:prSet presAssocID="{2B38678D-01F3-4D13-87E1-D3A3673EC767}" presName="sibTrans" presStyleCnt="0"/>
      <dgm:spPr/>
    </dgm:pt>
    <dgm:pt modelId="{65957B0E-106D-4514-9C7C-B4367CBFE843}" type="pres">
      <dgm:prSet presAssocID="{C63D4AF2-EFB1-4F89-BEC6-577B4C81A96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CB69EDD-829A-4494-860A-C178DC61CC57}" type="presOf" srcId="{43250ED5-A426-428E-8F79-A8CEAB53C461}" destId="{F261ADC7-CBF5-4BA8-845A-6432EDC71245}" srcOrd="0" destOrd="0" presId="urn:microsoft.com/office/officeart/2005/8/layout/default#1"/>
    <dgm:cxn modelId="{B22A8EA5-06BF-481C-A6AA-FC2703B41F67}" srcId="{43250ED5-A426-428E-8F79-A8CEAB53C461}" destId="{EB6485E5-9102-4E7E-A1C4-328F3DE7375C}" srcOrd="1" destOrd="0" parTransId="{0268E105-3B40-4371-8575-322F4E956D2E}" sibTransId="{2B38678D-01F3-4D13-87E1-D3A3673EC767}"/>
    <dgm:cxn modelId="{29D04D70-06C8-445F-AECD-ED6F4E7D690E}" type="presOf" srcId="{C63D4AF2-EFB1-4F89-BEC6-577B4C81A963}" destId="{65957B0E-106D-4514-9C7C-B4367CBFE843}" srcOrd="0" destOrd="0" presId="urn:microsoft.com/office/officeart/2005/8/layout/default#1"/>
    <dgm:cxn modelId="{1E285B43-8987-464E-BF58-408613A211DB}" type="presOf" srcId="{B27F652E-337A-43BB-B8B8-311FCA4DABFC}" destId="{AEAC9AEF-720D-4BA2-B67F-E271FEA98FA2}" srcOrd="0" destOrd="0" presId="urn:microsoft.com/office/officeart/2005/8/layout/default#1"/>
    <dgm:cxn modelId="{26433D43-D07E-4778-B005-46113CE8E11F}" srcId="{43250ED5-A426-428E-8F79-A8CEAB53C461}" destId="{B27F652E-337A-43BB-B8B8-311FCA4DABFC}" srcOrd="0" destOrd="0" parTransId="{9051FD25-CABB-485F-8C74-1A7977A854CF}" sibTransId="{8229BA4F-7781-4EF9-BF44-C2F90D65BA54}"/>
    <dgm:cxn modelId="{8241B89B-969C-429B-97DE-897466BD3E27}" srcId="{43250ED5-A426-428E-8F79-A8CEAB53C461}" destId="{C63D4AF2-EFB1-4F89-BEC6-577B4C81A963}" srcOrd="2" destOrd="0" parTransId="{AB589D49-E924-4AE1-AC36-9DB7F548CF6D}" sibTransId="{9AE9136B-3492-4932-A69E-92AA515613A0}"/>
    <dgm:cxn modelId="{337C0587-3320-418D-8210-F593BF9845AB}" type="presOf" srcId="{EB6485E5-9102-4E7E-A1C4-328F3DE7375C}" destId="{8645FF11-9FDA-440D-AC13-8AC2CE6B1CF5}" srcOrd="0" destOrd="0" presId="urn:microsoft.com/office/officeart/2005/8/layout/default#1"/>
    <dgm:cxn modelId="{6AFB0F3F-2E6A-4CFD-9F6D-2CF84D21BB35}" type="presParOf" srcId="{F261ADC7-CBF5-4BA8-845A-6432EDC71245}" destId="{AEAC9AEF-720D-4BA2-B67F-E271FEA98FA2}" srcOrd="0" destOrd="0" presId="urn:microsoft.com/office/officeart/2005/8/layout/default#1"/>
    <dgm:cxn modelId="{020E3BB8-8AE9-49C4-BE76-028727AA81DE}" type="presParOf" srcId="{F261ADC7-CBF5-4BA8-845A-6432EDC71245}" destId="{7C294A28-9479-48AD-8CCE-F303C8F250B9}" srcOrd="1" destOrd="0" presId="urn:microsoft.com/office/officeart/2005/8/layout/default#1"/>
    <dgm:cxn modelId="{85131FA9-2256-49B1-A979-10C0BE3600D9}" type="presParOf" srcId="{F261ADC7-CBF5-4BA8-845A-6432EDC71245}" destId="{8645FF11-9FDA-440D-AC13-8AC2CE6B1CF5}" srcOrd="2" destOrd="0" presId="urn:microsoft.com/office/officeart/2005/8/layout/default#1"/>
    <dgm:cxn modelId="{510B3B7F-60D7-4BF2-9764-86B89818BB5C}" type="presParOf" srcId="{F261ADC7-CBF5-4BA8-845A-6432EDC71245}" destId="{426DF675-9C77-4F92-9618-9A9E256C382A}" srcOrd="3" destOrd="0" presId="urn:microsoft.com/office/officeart/2005/8/layout/default#1"/>
    <dgm:cxn modelId="{4FB615DC-DFC5-40AB-8010-60E30A385F5E}" type="presParOf" srcId="{F261ADC7-CBF5-4BA8-845A-6432EDC71245}" destId="{65957B0E-106D-4514-9C7C-B4367CBFE843}" srcOrd="4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EAC9AEF-720D-4BA2-B67F-E271FEA98FA2}">
      <dsp:nvSpPr>
        <dsp:cNvPr id="0" name=""/>
        <dsp:cNvSpPr/>
      </dsp:nvSpPr>
      <dsp:spPr>
        <a:xfrm>
          <a:off x="2515" y="68936"/>
          <a:ext cx="3719855" cy="283509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50">
              <a:ln w="11430"/>
              <a:effectLst/>
            </a:rPr>
            <a:t>Расходы на финансовое обеспечение выполнения муниципального задания муниципальным бюджетным учреждением культуры в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50">
              <a:ln w="11430"/>
              <a:effectLst/>
            </a:rPr>
            <a:t>2026году-22870,6  тыс.рублей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50">
              <a:ln w="11430"/>
              <a:effectLst/>
            </a:rPr>
            <a:t>2027году-12969,2 тыс.рублей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50">
              <a:ln w="11430"/>
              <a:effectLst/>
            </a:rPr>
            <a:t>2028году-11202,5 тыс.рублей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515" y="68936"/>
        <a:ext cx="3719855" cy="2835098"/>
      </dsp:txXfrm>
    </dsp:sp>
    <dsp:sp modelId="{8645FF11-9FDA-440D-AC13-8AC2CE6B1CF5}">
      <dsp:nvSpPr>
        <dsp:cNvPr id="0" name=""/>
        <dsp:cNvSpPr/>
      </dsp:nvSpPr>
      <dsp:spPr>
        <a:xfrm>
          <a:off x="4007953" y="498150"/>
          <a:ext cx="3990530" cy="1976671"/>
        </a:xfrm>
        <a:prstGeom prst="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Расходы на реализацию муниципальной  целевой программы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2026 году-22946,0 тыс.рублей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2027 году-13044,6 тыс.рублей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 cap="none" spc="0">
              <a:ln w="11430"/>
              <a:effectLst>
                <a:outerShdw blurRad="50800" dist="39000" dir="5460000" algn="tl">
                  <a:srgbClr val="000000">
                    <a:alpha val="38000"/>
                  </a:srgbClr>
                </a:outerShdw>
              </a:effectLst>
            </a:rPr>
            <a:t>2028 году-11277,9 тыс.рублей</a:t>
          </a:r>
        </a:p>
      </dsp:txBody>
      <dsp:txXfrm>
        <a:off x="4007953" y="498150"/>
        <a:ext cx="3990530" cy="1976671"/>
      </dsp:txXfrm>
    </dsp:sp>
    <dsp:sp modelId="{65957B0E-106D-4514-9C7C-B4367CBFE843}">
      <dsp:nvSpPr>
        <dsp:cNvPr id="0" name=""/>
        <dsp:cNvSpPr/>
      </dsp:nvSpPr>
      <dsp:spPr>
        <a:xfrm>
          <a:off x="2572587" y="3189617"/>
          <a:ext cx="2855825" cy="1713495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Общий объем расходов по отрасли "КУЛЬТУРА"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2026 году-22950,3 тыс.рублей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2027 году- 13048,9 тыс.рублей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2028 году- 11282,2 тыс.рублей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2572587" y="3189617"/>
        <a:ext cx="2855825" cy="17134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AED68A-A539-4B9B-897D-217C5C55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CityLine</cp:lastModifiedBy>
  <cp:revision>176</cp:revision>
  <cp:lastPrinted>2015-03-06T06:58:00Z</cp:lastPrinted>
  <dcterms:created xsi:type="dcterms:W3CDTF">2018-02-20T10:23:00Z</dcterms:created>
  <dcterms:modified xsi:type="dcterms:W3CDTF">2026-02-06T06:21:00Z</dcterms:modified>
</cp:coreProperties>
</file>