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3E3E96BE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>тые меры за</w:t>
      </w:r>
      <w:r w:rsidR="006E5777">
        <w:rPr>
          <w:sz w:val="28"/>
          <w:szCs w:val="28"/>
        </w:rPr>
        <w:t xml:space="preserve"> 2 квартал 2021 года</w:t>
      </w:r>
    </w:p>
    <w:p w14:paraId="3BBBCB1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50046645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за</w:t>
      </w:r>
      <w:r w:rsidR="006E5777">
        <w:rPr>
          <w:rFonts w:cs="Times New Roman"/>
          <w:sz w:val="28"/>
          <w:szCs w:val="28"/>
        </w:rPr>
        <w:t xml:space="preserve"> первый и второй </w:t>
      </w:r>
      <w:r w:rsidR="00CA213E">
        <w:rPr>
          <w:rFonts w:cs="Times New Roman"/>
          <w:sz w:val="28"/>
          <w:szCs w:val="28"/>
        </w:rPr>
        <w:t>квартал 2021</w:t>
      </w:r>
      <w:r>
        <w:rPr>
          <w:rFonts w:cs="Times New Roman"/>
          <w:sz w:val="28"/>
          <w:szCs w:val="28"/>
        </w:rPr>
        <w:t xml:space="preserve"> год</w:t>
      </w:r>
      <w:r w:rsidR="006E577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поступило </w:t>
      </w:r>
      <w:r w:rsidR="006E5777">
        <w:rPr>
          <w:rFonts w:cs="Times New Roman"/>
          <w:sz w:val="28"/>
          <w:szCs w:val="28"/>
        </w:rPr>
        <w:t>57</w:t>
      </w:r>
      <w:r w:rsidR="000F4AE3">
        <w:rPr>
          <w:rFonts w:cs="Times New Roman"/>
          <w:sz w:val="28"/>
          <w:szCs w:val="28"/>
        </w:rPr>
        <w:t xml:space="preserve"> письменных</w:t>
      </w:r>
      <w:r w:rsidR="006E5777">
        <w:rPr>
          <w:rFonts w:cs="Times New Roman"/>
          <w:sz w:val="28"/>
          <w:szCs w:val="28"/>
        </w:rPr>
        <w:t xml:space="preserve"> обращений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6E5777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6E5777">
        <w:rPr>
          <w:rFonts w:cs="Times New Roman"/>
          <w:sz w:val="28"/>
          <w:szCs w:val="28"/>
        </w:rPr>
        <w:t>больше</w:t>
      </w:r>
      <w:r w:rsidR="00FF0914">
        <w:rPr>
          <w:rFonts w:cs="Times New Roman"/>
          <w:sz w:val="28"/>
          <w:szCs w:val="28"/>
        </w:rPr>
        <w:t xml:space="preserve">, чем </w:t>
      </w:r>
      <w:r w:rsidR="00F71387">
        <w:rPr>
          <w:rFonts w:cs="Times New Roman"/>
          <w:sz w:val="28"/>
          <w:szCs w:val="28"/>
        </w:rPr>
        <w:t xml:space="preserve">в </w:t>
      </w:r>
      <w:r w:rsidR="00FF0914">
        <w:rPr>
          <w:rFonts w:cs="Times New Roman"/>
          <w:sz w:val="28"/>
          <w:szCs w:val="28"/>
        </w:rPr>
        <w:t>аналогичном периоде 20</w:t>
      </w:r>
      <w:r w:rsidR="006E5777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года.</w:t>
      </w:r>
    </w:p>
    <w:p w14:paraId="61A55FC9" w14:textId="6645DE2E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6E5777">
        <w:rPr>
          <w:rFonts w:cs="Times New Roman"/>
          <w:sz w:val="28"/>
          <w:szCs w:val="28"/>
        </w:rPr>
        <w:t>2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68CC6722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E5777">
        <w:rPr>
          <w:sz w:val="28"/>
          <w:szCs w:val="28"/>
        </w:rPr>
        <w:t>6</w:t>
      </w:r>
      <w:r w:rsidRPr="00477066">
        <w:rPr>
          <w:sz w:val="28"/>
          <w:szCs w:val="28"/>
        </w:rPr>
        <w:t>;</w:t>
      </w:r>
    </w:p>
    <w:p w14:paraId="3F98FC0E" w14:textId="29F7CE52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E5777">
        <w:rPr>
          <w:sz w:val="28"/>
          <w:szCs w:val="28"/>
        </w:rPr>
        <w:t>1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3107762A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6E5777">
        <w:rPr>
          <w:sz w:val="28"/>
          <w:szCs w:val="28"/>
        </w:rPr>
        <w:t>15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0FAAEA3E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6E5777">
        <w:rPr>
          <w:sz w:val="28"/>
          <w:szCs w:val="28"/>
        </w:rPr>
        <w:t>1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6E5777">
        <w:rPr>
          <w:sz w:val="28"/>
          <w:szCs w:val="28"/>
        </w:rPr>
        <w:t>1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6E5777">
        <w:rPr>
          <w:sz w:val="28"/>
          <w:szCs w:val="28"/>
        </w:rPr>
        <w:t>7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CC553C">
        <w:rPr>
          <w:sz w:val="28"/>
          <w:szCs w:val="28"/>
        </w:rPr>
        <w:t>й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6E5777">
        <w:rPr>
          <w:sz w:val="28"/>
          <w:szCs w:val="28"/>
        </w:rPr>
        <w:t>38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6E5777">
        <w:rPr>
          <w:sz w:val="28"/>
          <w:szCs w:val="28"/>
        </w:rPr>
        <w:t>67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5163650B" w14:textId="77777777" w:rsidR="006E5777" w:rsidRPr="00D0429E" w:rsidRDefault="006E5777" w:rsidP="006E57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D0429E">
        <w:rPr>
          <w:sz w:val="28"/>
          <w:szCs w:val="28"/>
        </w:rPr>
        <w:t xml:space="preserve"> месте по количеству поступивших обращений - конфликты на бытовой почве - </w:t>
      </w:r>
      <w:r>
        <w:rPr>
          <w:sz w:val="28"/>
          <w:szCs w:val="28"/>
        </w:rPr>
        <w:t>10</w:t>
      </w:r>
      <w:r w:rsidRPr="00D0429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ений (18</w:t>
      </w:r>
      <w:r w:rsidRPr="00D0429E">
        <w:rPr>
          <w:sz w:val="28"/>
          <w:szCs w:val="28"/>
        </w:rPr>
        <w:t xml:space="preserve">%). </w:t>
      </w:r>
    </w:p>
    <w:p w14:paraId="0249CA27" w14:textId="1C062759" w:rsidR="00CC553C" w:rsidRPr="00D0429E" w:rsidRDefault="00CC553C" w:rsidP="00CC55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Справочные функции стоят на</w:t>
      </w:r>
      <w:r>
        <w:rPr>
          <w:sz w:val="28"/>
          <w:szCs w:val="28"/>
        </w:rPr>
        <w:t xml:space="preserve"> </w:t>
      </w:r>
      <w:r w:rsidR="006E5777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месте и составляют - 2</w:t>
      </w:r>
      <w:r w:rsidRPr="00D0429E">
        <w:rPr>
          <w:sz w:val="28"/>
          <w:szCs w:val="28"/>
        </w:rPr>
        <w:t xml:space="preserve"> обращени</w:t>
      </w:r>
      <w:r w:rsidR="006E5777">
        <w:rPr>
          <w:sz w:val="28"/>
          <w:szCs w:val="28"/>
        </w:rPr>
        <w:t>я</w:t>
      </w:r>
      <w:r>
        <w:rPr>
          <w:sz w:val="28"/>
          <w:szCs w:val="28"/>
        </w:rPr>
        <w:t xml:space="preserve">, что составляет </w:t>
      </w:r>
      <w:r w:rsidR="006E5777">
        <w:rPr>
          <w:sz w:val="28"/>
          <w:szCs w:val="28"/>
        </w:rPr>
        <w:t>4</w:t>
      </w:r>
      <w:r w:rsidRPr="00D0429E">
        <w:rPr>
          <w:sz w:val="28"/>
          <w:szCs w:val="28"/>
        </w:rPr>
        <w:t>%.</w:t>
      </w:r>
    </w:p>
    <w:p w14:paraId="55059A54" w14:textId="77777777" w:rsidR="008D2942" w:rsidRPr="006E5777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FFFF" w:themeColor="background1"/>
          <w:sz w:val="28"/>
          <w:szCs w:val="28"/>
        </w:rPr>
      </w:pPr>
      <w:r w:rsidRPr="006E5777">
        <w:rPr>
          <w:color w:val="FFFFFF" w:themeColor="background1"/>
          <w:sz w:val="28"/>
          <w:szCs w:val="28"/>
        </w:rPr>
        <w:t>По-прежнему актуальными остаются вопросы:</w:t>
      </w:r>
    </w:p>
    <w:p w14:paraId="52FE7310" w14:textId="1D09BA04" w:rsidR="009F72D8" w:rsidRPr="006E5777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FFFF" w:themeColor="background1"/>
          <w:sz w:val="28"/>
          <w:szCs w:val="28"/>
        </w:rPr>
      </w:pPr>
      <w:r w:rsidRPr="006E5777">
        <w:rPr>
          <w:color w:val="FFFFFF" w:themeColor="background1"/>
          <w:sz w:val="28"/>
          <w:szCs w:val="28"/>
        </w:rPr>
        <w:t xml:space="preserve">- </w:t>
      </w:r>
      <w:r w:rsidR="00F71387" w:rsidRPr="006E5777">
        <w:rPr>
          <w:color w:val="FFFFFF" w:themeColor="background1"/>
          <w:sz w:val="28"/>
          <w:szCs w:val="28"/>
        </w:rPr>
        <w:t>земельные отношения</w:t>
      </w:r>
      <w:r w:rsidRPr="006E5777">
        <w:rPr>
          <w:color w:val="FFFFFF" w:themeColor="background1"/>
          <w:sz w:val="28"/>
          <w:szCs w:val="28"/>
        </w:rPr>
        <w:t xml:space="preserve"> - </w:t>
      </w:r>
      <w:r w:rsidR="00CC553C" w:rsidRPr="006E5777">
        <w:rPr>
          <w:color w:val="FFFFFF" w:themeColor="background1"/>
          <w:sz w:val="28"/>
          <w:szCs w:val="28"/>
        </w:rPr>
        <w:t>7</w:t>
      </w:r>
      <w:r w:rsidRPr="006E5777">
        <w:rPr>
          <w:color w:val="FFFFFF" w:themeColor="background1"/>
          <w:sz w:val="28"/>
          <w:szCs w:val="28"/>
        </w:rPr>
        <w:t xml:space="preserve"> обращения</w:t>
      </w:r>
      <w:r w:rsidR="00931507" w:rsidRPr="006E5777">
        <w:rPr>
          <w:color w:val="FFFFFF" w:themeColor="background1"/>
          <w:sz w:val="28"/>
          <w:szCs w:val="28"/>
        </w:rPr>
        <w:t xml:space="preserve"> (</w:t>
      </w:r>
      <w:r w:rsidR="00CC553C" w:rsidRPr="006E5777">
        <w:rPr>
          <w:color w:val="FFFFFF" w:themeColor="background1"/>
          <w:sz w:val="28"/>
          <w:szCs w:val="28"/>
        </w:rPr>
        <w:t>5</w:t>
      </w:r>
      <w:r w:rsidR="003E6CFA" w:rsidRPr="006E5777">
        <w:rPr>
          <w:color w:val="FFFFFF" w:themeColor="background1"/>
          <w:sz w:val="28"/>
          <w:szCs w:val="28"/>
        </w:rPr>
        <w:t>%)</w:t>
      </w:r>
      <w:r w:rsidR="000563C8" w:rsidRPr="006E5777">
        <w:rPr>
          <w:color w:val="FFFFFF" w:themeColor="background1"/>
          <w:sz w:val="28"/>
          <w:szCs w:val="28"/>
        </w:rPr>
        <w:t>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500CB7" wp14:editId="120BB678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771C98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290D348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A03DB7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4B733F"/>
    <w:rsid w:val="00515E39"/>
    <w:rsid w:val="00527CC6"/>
    <w:rsid w:val="005A1969"/>
    <w:rsid w:val="00646FA2"/>
    <w:rsid w:val="00687AFF"/>
    <w:rsid w:val="006E5777"/>
    <w:rsid w:val="006F4748"/>
    <w:rsid w:val="006F6E4E"/>
    <w:rsid w:val="007135BF"/>
    <w:rsid w:val="0071575E"/>
    <w:rsid w:val="007F2AFC"/>
    <w:rsid w:val="00894A65"/>
    <w:rsid w:val="008C612A"/>
    <w:rsid w:val="008D0D8B"/>
    <w:rsid w:val="008D2942"/>
    <w:rsid w:val="008D7015"/>
    <w:rsid w:val="009045D0"/>
    <w:rsid w:val="009167B2"/>
    <w:rsid w:val="00931507"/>
    <w:rsid w:val="009704B4"/>
    <w:rsid w:val="00991C29"/>
    <w:rsid w:val="009E6F11"/>
    <w:rsid w:val="009F72D8"/>
    <w:rsid w:val="00A03DB7"/>
    <w:rsid w:val="00A2190B"/>
    <w:rsid w:val="00AC242C"/>
    <w:rsid w:val="00AD27C9"/>
    <w:rsid w:val="00AE596F"/>
    <w:rsid w:val="00B55016"/>
    <w:rsid w:val="00BB3E23"/>
    <w:rsid w:val="00BD4E91"/>
    <w:rsid w:val="00CA213E"/>
    <w:rsid w:val="00CB0A42"/>
    <w:rsid w:val="00CC553C"/>
    <w:rsid w:val="00CD0A83"/>
    <w:rsid w:val="00D0429E"/>
    <w:rsid w:val="00D30710"/>
    <w:rsid w:val="00E77AD6"/>
    <w:rsid w:val="00EA7058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2020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Земельные отношения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0.67</c:v>
                </c:pt>
                <c:pt idx="1">
                  <c:v>0.18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6</cp:revision>
  <dcterms:created xsi:type="dcterms:W3CDTF">2021-02-20T05:34:00Z</dcterms:created>
  <dcterms:modified xsi:type="dcterms:W3CDTF">2021-11-02T07:07:00Z</dcterms:modified>
</cp:coreProperties>
</file>