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A073F3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2018 – 2020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DD4280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8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9 и 2020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DD4280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2018-2020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DD4280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2018-2020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2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>7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.10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7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196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DD4280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8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9 и 2020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DD4280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DD428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DD428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DD4280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982FC1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201</w:t>
      </w:r>
      <w:r w:rsidR="00FF6422">
        <w:rPr>
          <w:rFonts w:ascii="Times New Roman" w:hAnsi="Times New Roman" w:cs="Times New Roman"/>
          <w:color w:val="C00000"/>
          <w:sz w:val="64"/>
          <w:szCs w:val="64"/>
        </w:rPr>
        <w:t>8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FF6422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2019 и 2020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FF6422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42832,9</w:t>
            </w:r>
          </w:p>
        </w:tc>
        <w:tc>
          <w:tcPr>
            <w:tcW w:w="2551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23876,9</w:t>
            </w:r>
          </w:p>
        </w:tc>
        <w:tc>
          <w:tcPr>
            <w:tcW w:w="2268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18286,0</w:t>
            </w:r>
          </w:p>
        </w:tc>
        <w:tc>
          <w:tcPr>
            <w:tcW w:w="2552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87739,7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FF6422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8838,0</w:t>
            </w:r>
          </w:p>
        </w:tc>
        <w:tc>
          <w:tcPr>
            <w:tcW w:w="255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3972,7</w:t>
            </w:r>
          </w:p>
        </w:tc>
        <w:tc>
          <w:tcPr>
            <w:tcW w:w="2268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3975,1</w:t>
            </w:r>
          </w:p>
        </w:tc>
        <w:tc>
          <w:tcPr>
            <w:tcW w:w="2552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4192,8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33994,9</w:t>
            </w:r>
          </w:p>
        </w:tc>
        <w:tc>
          <w:tcPr>
            <w:tcW w:w="2551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19904,2</w:t>
            </w:r>
          </w:p>
        </w:tc>
        <w:tc>
          <w:tcPr>
            <w:tcW w:w="2268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14310,9</w:t>
            </w:r>
          </w:p>
        </w:tc>
        <w:tc>
          <w:tcPr>
            <w:tcW w:w="2552" w:type="dxa"/>
          </w:tcPr>
          <w:p w:rsidR="00EA2789" w:rsidRPr="000C2E5D" w:rsidRDefault="00B0696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83546,9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43228,5</w:t>
            </w:r>
          </w:p>
        </w:tc>
        <w:tc>
          <w:tcPr>
            <w:tcW w:w="2551" w:type="dxa"/>
          </w:tcPr>
          <w:p w:rsidR="00EA2789" w:rsidRPr="000C2E5D" w:rsidRDefault="00C056F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28099,2</w:t>
            </w:r>
          </w:p>
        </w:tc>
        <w:tc>
          <w:tcPr>
            <w:tcW w:w="2268" w:type="dxa"/>
          </w:tcPr>
          <w:p w:rsidR="00EA2789" w:rsidRPr="000C2E5D" w:rsidRDefault="00C056F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18286,0</w:t>
            </w:r>
          </w:p>
        </w:tc>
        <w:tc>
          <w:tcPr>
            <w:tcW w:w="2552" w:type="dxa"/>
          </w:tcPr>
          <w:p w:rsidR="00EA2789" w:rsidRPr="000C2E5D" w:rsidRDefault="00C056F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87739,7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-395,6</w:t>
            </w:r>
          </w:p>
        </w:tc>
        <w:tc>
          <w:tcPr>
            <w:tcW w:w="2551" w:type="dxa"/>
          </w:tcPr>
          <w:p w:rsidR="00EA2789" w:rsidRPr="000C2E5D" w:rsidRDefault="00C056F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-4222,3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A17C3C">
        <w:rPr>
          <w:rFonts w:ascii="Times New Roman" w:hAnsi="Times New Roman" w:cs="Times New Roman"/>
          <w:color w:val="0066FF"/>
          <w:sz w:val="48"/>
          <w:szCs w:val="48"/>
        </w:rPr>
        <w:t xml:space="preserve"> Белокалитвинского района в 2018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A17C3C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3972,7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</w:t>
      </w:r>
      <w:proofErr w:type="gramStart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</w:t>
      </w:r>
      <w:proofErr w:type="gramStart"/>
      <w:r w:rsidRPr="00481EB7">
        <w:rPr>
          <w:rFonts w:ascii="Georgia" w:hAnsi="Georgia"/>
          <w:color w:val="1F497D" w:themeColor="text2"/>
          <w:sz w:val="52"/>
          <w:szCs w:val="52"/>
        </w:rPr>
        <w:t>.р</w:t>
      </w:r>
      <w:proofErr w:type="gramEnd"/>
      <w:r w:rsidRPr="00481EB7">
        <w:rPr>
          <w:rFonts w:ascii="Georgia" w:hAnsi="Georgia"/>
          <w:color w:val="1F497D" w:themeColor="text2"/>
          <w:sz w:val="52"/>
          <w:szCs w:val="52"/>
        </w:rPr>
        <w:t>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</w:t>
      </w:r>
      <w:proofErr w:type="spell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тыс</w:t>
      </w:r>
      <w:proofErr w:type="gram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уб</w:t>
      </w:r>
      <w:proofErr w:type="spell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Белокалитвинского района в 201</w:t>
      </w:r>
      <w:r w:rsidR="00811E9B">
        <w:rPr>
          <w:rFonts w:ascii="Times New Roman" w:hAnsi="Times New Roman" w:cs="Times New Roman"/>
          <w:color w:val="C00000"/>
          <w:sz w:val="40"/>
          <w:szCs w:val="40"/>
        </w:rPr>
        <w:t>8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D82748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28099,2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bookmarkStart w:id="0" w:name="_GoBack"/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14432D" w:rsidRDefault="00E40DA7" w:rsidP="00641EE9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2017</w:t>
            </w:r>
          </w:p>
          <w:p w:rsidR="00E40DA7" w:rsidRPr="0014432D" w:rsidRDefault="00E40DA7" w:rsidP="0061527F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2018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2019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 xml:space="preserve">2020 </w:t>
            </w:r>
            <w:r w:rsidR="00E40DA7" w:rsidRPr="0014432D">
              <w:rPr>
                <w:color w:val="1E04BC"/>
                <w:sz w:val="32"/>
                <w:szCs w:val="32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71,0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70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70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72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содержанию и организации деятельности АСФ на территории поселения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BB3E50">
              <w:rPr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BB3E50">
              <w:rPr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color w:val="0D0D0D" w:themeColor="text1" w:themeTint="F2"/>
                <w:sz w:val="32"/>
                <w:szCs w:val="32"/>
              </w:rPr>
              <w:t>,6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641EE9" w:rsidRDefault="00BD3C1A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123,7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122,3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131F39">
            <w:r>
              <w:rPr>
                <w:color w:val="0D0D0D" w:themeColor="text1" w:themeTint="F2"/>
                <w:sz w:val="32"/>
                <w:szCs w:val="32"/>
              </w:rPr>
              <w:t>122,3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131F39">
            <w:r>
              <w:rPr>
                <w:color w:val="0D0D0D" w:themeColor="text1" w:themeTint="F2"/>
                <w:sz w:val="32"/>
                <w:szCs w:val="32"/>
              </w:rPr>
              <w:t>125,6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сфере жилищно - 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  <w:r w:rsidR="00F32E78">
              <w:rPr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="00F32E78">
              <w:rPr>
                <w:color w:val="0D0D0D" w:themeColor="text1" w:themeTint="F2"/>
                <w:sz w:val="32"/>
                <w:szCs w:val="32"/>
              </w:rPr>
              <w:t>жил</w:t>
            </w:r>
            <w:proofErr w:type="gramStart"/>
            <w:r w:rsidR="00F32E78">
              <w:rPr>
                <w:color w:val="0D0D0D" w:themeColor="text1" w:themeTint="F2"/>
                <w:sz w:val="32"/>
                <w:szCs w:val="32"/>
              </w:rPr>
              <w:t>.к</w:t>
            </w:r>
            <w:proofErr w:type="gramEnd"/>
            <w:r w:rsidR="00F32E78">
              <w:rPr>
                <w:color w:val="0D0D0D" w:themeColor="text1" w:themeTint="F2"/>
                <w:sz w:val="32"/>
                <w:szCs w:val="32"/>
              </w:rPr>
              <w:t>онтроль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43,9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40,8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</w:t>
            </w:r>
            <w:r w:rsidR="00131F39">
              <w:rPr>
                <w:color w:val="0D0D0D" w:themeColor="text1" w:themeTint="F2"/>
                <w:sz w:val="32"/>
                <w:szCs w:val="32"/>
              </w:rPr>
              <w:t>0,8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определению </w:t>
            </w:r>
            <w:r w:rsidRPr="00CA5C20">
              <w:rPr>
                <w:sz w:val="32"/>
                <w:szCs w:val="32"/>
              </w:rPr>
              <w:lastRenderedPageBreak/>
              <w:t>органа в сфере жилищно-коммунального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lastRenderedPageBreak/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2F3985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236,1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266,2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</w:t>
            </w:r>
            <w:r w:rsidR="00610EC6">
              <w:rPr>
                <w:color w:val="0D0D0D" w:themeColor="text1" w:themeTint="F2"/>
                <w:sz w:val="32"/>
                <w:szCs w:val="32"/>
              </w:rPr>
              <w:t>6</w:t>
            </w: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610EC6">
              <w:rPr>
                <w:color w:val="0D0D0D" w:themeColor="text1" w:themeTint="F2"/>
                <w:sz w:val="32"/>
                <w:szCs w:val="32"/>
              </w:rPr>
              <w:t>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269,0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80" w:rsidRDefault="00DD4280" w:rsidP="001268EE">
      <w:pPr>
        <w:spacing w:after="0" w:line="240" w:lineRule="auto"/>
      </w:pPr>
      <w:r>
        <w:separator/>
      </w:r>
    </w:p>
  </w:endnote>
  <w:endnote w:type="continuationSeparator" w:id="0">
    <w:p w:rsidR="00DD4280" w:rsidRDefault="00DD4280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80" w:rsidRDefault="00DD4280" w:rsidP="001268EE">
      <w:pPr>
        <w:spacing w:after="0" w:line="240" w:lineRule="auto"/>
      </w:pPr>
      <w:r>
        <w:separator/>
      </w:r>
    </w:p>
  </w:footnote>
  <w:footnote w:type="continuationSeparator" w:id="0">
    <w:p w:rsidR="00DD4280" w:rsidRDefault="00DD4280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7B71"/>
    <w:rsid w:val="000B0125"/>
    <w:rsid w:val="000B513B"/>
    <w:rsid w:val="000C2E5D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70DC4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122A0"/>
    <w:rsid w:val="00224104"/>
    <w:rsid w:val="00237370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F3985"/>
    <w:rsid w:val="00310830"/>
    <w:rsid w:val="00335AC9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D339B"/>
    <w:rsid w:val="003E08E3"/>
    <w:rsid w:val="003E6725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540B6"/>
    <w:rsid w:val="0059468E"/>
    <w:rsid w:val="00596FDA"/>
    <w:rsid w:val="005A5B16"/>
    <w:rsid w:val="005A5B9C"/>
    <w:rsid w:val="005B5F18"/>
    <w:rsid w:val="005C05C3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3AF7"/>
    <w:rsid w:val="00641063"/>
    <w:rsid w:val="00641EE9"/>
    <w:rsid w:val="00645902"/>
    <w:rsid w:val="006734CE"/>
    <w:rsid w:val="006771B0"/>
    <w:rsid w:val="00693B4F"/>
    <w:rsid w:val="006A082E"/>
    <w:rsid w:val="006C1CB4"/>
    <w:rsid w:val="006F0BF0"/>
    <w:rsid w:val="006F5882"/>
    <w:rsid w:val="006F7322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B5392"/>
    <w:rsid w:val="007C51FD"/>
    <w:rsid w:val="007D13B6"/>
    <w:rsid w:val="007E3850"/>
    <w:rsid w:val="007E6EA2"/>
    <w:rsid w:val="007F1CB5"/>
    <w:rsid w:val="007F3E82"/>
    <w:rsid w:val="007F7222"/>
    <w:rsid w:val="00811E9B"/>
    <w:rsid w:val="0082291F"/>
    <w:rsid w:val="008423D1"/>
    <w:rsid w:val="00847E1A"/>
    <w:rsid w:val="008842C3"/>
    <w:rsid w:val="008A7CF6"/>
    <w:rsid w:val="008C002D"/>
    <w:rsid w:val="008C6A0B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62E3"/>
    <w:rsid w:val="00A00A0E"/>
    <w:rsid w:val="00A06194"/>
    <w:rsid w:val="00A073F3"/>
    <w:rsid w:val="00A17C3C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F28FC"/>
    <w:rsid w:val="00B03DBE"/>
    <w:rsid w:val="00B06962"/>
    <w:rsid w:val="00B13CA2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20F36"/>
    <w:rsid w:val="00C313E8"/>
    <w:rsid w:val="00C33A69"/>
    <w:rsid w:val="00C72043"/>
    <w:rsid w:val="00C72281"/>
    <w:rsid w:val="00C85E80"/>
    <w:rsid w:val="00C97F96"/>
    <w:rsid w:val="00CA5C20"/>
    <w:rsid w:val="00CA6198"/>
    <w:rsid w:val="00CA7913"/>
    <w:rsid w:val="00CA7D89"/>
    <w:rsid w:val="00CB393F"/>
    <w:rsid w:val="00CC537A"/>
    <w:rsid w:val="00CD535C"/>
    <w:rsid w:val="00CF5CF7"/>
    <w:rsid w:val="00D168ED"/>
    <w:rsid w:val="00D55499"/>
    <w:rsid w:val="00D633EA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D4280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87FF9"/>
    <w:rsid w:val="00E94049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17527,5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19904,2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14310,9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83546,9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17527.5</c:v>
                </c:pt>
                <c:pt idx="1">
                  <c:v>19904.2</c:v>
                </c:pt>
                <c:pt idx="2">
                  <c:v>14310.9</c:v>
                </c:pt>
                <c:pt idx="3">
                  <c:v>83546.899999999994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3713,0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3972,7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3975,1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4192,8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3713</c:v>
                </c:pt>
                <c:pt idx="1">
                  <c:v>3972.7</c:v>
                </c:pt>
                <c:pt idx="2">
                  <c:v>3975.1</c:v>
                </c:pt>
                <c:pt idx="3">
                  <c:v>4192.8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410688"/>
        <c:axId val="121412608"/>
      </c:barChart>
      <c:catAx>
        <c:axId val="12141068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2017(первонач.)                               2018                                 2019                             2020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21412608"/>
        <c:crosses val="autoZero"/>
        <c:auto val="1"/>
        <c:lblAlgn val="ctr"/>
        <c:lblOffset val="100"/>
        <c:noMultiLvlLbl val="0"/>
      </c:catAx>
      <c:valAx>
        <c:axId val="121412608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410688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НДФЛ- 1340.2</c:v>
                </c:pt>
                <c:pt idx="1">
                  <c:v>Налоги на имущество- 2237.6</c:v>
                </c:pt>
                <c:pt idx="2">
                  <c:v>Налоги на совокупный налог- 4.5</c:v>
                </c:pt>
                <c:pt idx="3">
                  <c:v>Госпошлина- 70.9</c:v>
                </c:pt>
                <c:pt idx="4">
                  <c:v>Неналоговые доходы- 319.5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1340.2</c:v>
                </c:pt>
                <c:pt idx="1">
                  <c:v>2237.6</c:v>
                </c:pt>
                <c:pt idx="2">
                  <c:v>4.5</c:v>
                </c:pt>
                <c:pt idx="3">
                  <c:v>70.900000000000006</c:v>
                </c:pt>
                <c:pt idx="4">
                  <c:v>319.5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8119722286"/>
          <c:y val="0.13959386655615424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1789</c:v>
                </c:pt>
                <c:pt idx="1">
                  <c:v>1886.3</c:v>
                </c:pt>
                <c:pt idx="2">
                  <c:v>1447.5</c:v>
                </c:pt>
                <c:pt idx="3">
                  <c:v>1340.2</c:v>
                </c:pt>
                <c:pt idx="4">
                  <c:v>1396</c:v>
                </c:pt>
                <c:pt idx="5">
                  <c:v>1435.9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4408064"/>
        <c:axId val="134409600"/>
      </c:barChart>
      <c:catAx>
        <c:axId val="134408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409600"/>
        <c:crosses val="autoZero"/>
        <c:auto val="1"/>
        <c:lblAlgn val="ctr"/>
        <c:lblOffset val="100"/>
        <c:noMultiLvlLbl val="0"/>
      </c:catAx>
      <c:valAx>
        <c:axId val="134409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440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83546,9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30139.7</c:v>
                </c:pt>
                <c:pt idx="1">
                  <c:v>19904.2</c:v>
                </c:pt>
                <c:pt idx="2">
                  <c:v>14310.9</c:v>
                </c:pt>
                <c:pt idx="3">
                  <c:v>83546.899999999994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4559616"/>
        <c:axId val="134583040"/>
      </c:barChart>
      <c:catAx>
        <c:axId val="134559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4583040"/>
        <c:crosses val="autoZero"/>
        <c:auto val="1"/>
        <c:lblAlgn val="ctr"/>
        <c:lblOffset val="100"/>
        <c:noMultiLvlLbl val="0"/>
      </c:catAx>
      <c:valAx>
        <c:axId val="13458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455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37986,8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23876,9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18286,0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87739,7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37986.800000000003</c:v>
                </c:pt>
                <c:pt idx="1">
                  <c:v>23876.9</c:v>
                </c:pt>
                <c:pt idx="2">
                  <c:v>18286</c:v>
                </c:pt>
                <c:pt idx="3">
                  <c:v>87739.7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21419648"/>
        <c:axId val="121420800"/>
      </c:barChart>
      <c:catAx>
        <c:axId val="121419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21420800"/>
        <c:crosses val="autoZero"/>
        <c:auto val="1"/>
        <c:lblAlgn val="ctr"/>
        <c:lblOffset val="100"/>
        <c:noMultiLvlLbl val="0"/>
      </c:catAx>
      <c:valAx>
        <c:axId val="121420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21419648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соцполитика-183.3</c:v>
                </c:pt>
                <c:pt idx="1">
                  <c:v>культура-13293.8</c:v>
                </c:pt>
                <c:pt idx="2">
                  <c:v>физкультура и спорт-20</c:v>
                </c:pt>
                <c:pt idx="3">
                  <c:v>нацэкономика-743</c:v>
                </c:pt>
                <c:pt idx="4">
                  <c:v>ЖКХ-5304.6</c:v>
                </c:pt>
                <c:pt idx="5">
                  <c:v>общегос-ые вопросы-8095.4</c:v>
                </c:pt>
                <c:pt idx="6">
                  <c:v>нацбезопастность и правоохранит. Деятельность,нацоборона-459.1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183.3</c:v>
                </c:pt>
                <c:pt idx="1">
                  <c:v>13293.8</c:v>
                </c:pt>
                <c:pt idx="2">
                  <c:v>20</c:v>
                </c:pt>
                <c:pt idx="3">
                  <c:v>743</c:v>
                </c:pt>
                <c:pt idx="4">
                  <c:v>5304.6</c:v>
                </c:pt>
                <c:pt idx="5">
                  <c:v>8095.4</c:v>
                </c:pt>
                <c:pt idx="6">
                  <c:v>459.1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12762.8</c:v>
                </c:pt>
                <c:pt idx="1">
                  <c:v>13293.8</c:v>
                </c:pt>
                <c:pt idx="2">
                  <c:v>6766.5</c:v>
                </c:pt>
                <c:pt idx="3">
                  <c:v>5735.1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526976"/>
        <c:axId val="146528512"/>
      </c:areaChart>
      <c:catAx>
        <c:axId val="14652697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46528512"/>
        <c:crosses val="autoZero"/>
        <c:auto val="1"/>
        <c:lblAlgn val="ctr"/>
        <c:lblOffset val="100"/>
        <c:noMultiLvlLbl val="0"/>
      </c:catAx>
      <c:valAx>
        <c:axId val="146528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46526976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20987.200000000001</c:v>
                </c:pt>
                <c:pt idx="1">
                  <c:v>27777.200000000001</c:v>
                </c:pt>
                <c:pt idx="2">
                  <c:v>18015</c:v>
                </c:pt>
                <c:pt idx="3">
                  <c:v>87461.8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0856448"/>
        <c:axId val="150857984"/>
        <c:axId val="0"/>
      </c:bar3DChart>
      <c:catAx>
        <c:axId val="1508564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57984"/>
        <c:crosses val="autoZero"/>
        <c:auto val="1"/>
        <c:lblAlgn val="ctr"/>
        <c:lblOffset val="100"/>
        <c:noMultiLvlLbl val="0"/>
      </c:catAx>
      <c:valAx>
        <c:axId val="15085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56448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2018году-13223,8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2019году-6696,5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2020году-5663,1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2018году-13289,6тыс.рублей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2019году-6762,2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2020году-5730,6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2018году-13293,8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2019году- 6766,5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2020году- 5735,1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205D1886-33B3-4EDC-9BEB-0974830CA03D}" type="presOf" srcId="{C63D4AF2-EFB1-4F89-BEC6-577B4C81A963}" destId="{65957B0E-106D-4514-9C7C-B4367CBFE843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E2EDF25A-7A09-4536-8729-9BC213A0E436}" type="presOf" srcId="{EB6485E5-9102-4E7E-A1C4-328F3DE7375C}" destId="{8645FF11-9FDA-440D-AC13-8AC2CE6B1CF5}" srcOrd="0" destOrd="0" presId="urn:microsoft.com/office/officeart/2005/8/layout/default#1"/>
    <dgm:cxn modelId="{02DD1904-1F81-4EAD-959D-09101C02542C}" type="presOf" srcId="{B27F652E-337A-43BB-B8B8-311FCA4DABFC}" destId="{AEAC9AEF-720D-4BA2-B67F-E271FEA98FA2}" srcOrd="0" destOrd="0" presId="urn:microsoft.com/office/officeart/2005/8/layout/default#1"/>
    <dgm:cxn modelId="{7086CDF4-3278-43F7-9D70-151DCEC94263}" type="presOf" srcId="{43250ED5-A426-428E-8F79-A8CEAB53C461}" destId="{F261ADC7-CBF5-4BA8-845A-6432EDC7124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B86A7E9C-06CC-441C-B03F-9AFC302E974B}" type="presParOf" srcId="{F261ADC7-CBF5-4BA8-845A-6432EDC71245}" destId="{AEAC9AEF-720D-4BA2-B67F-E271FEA98FA2}" srcOrd="0" destOrd="0" presId="urn:microsoft.com/office/officeart/2005/8/layout/default#1"/>
    <dgm:cxn modelId="{F499CD8D-FD57-4265-A9D4-4B82DFB31496}" type="presParOf" srcId="{F261ADC7-CBF5-4BA8-845A-6432EDC71245}" destId="{7C294A28-9479-48AD-8CCE-F303C8F250B9}" srcOrd="1" destOrd="0" presId="urn:microsoft.com/office/officeart/2005/8/layout/default#1"/>
    <dgm:cxn modelId="{94C584B7-ECA2-4669-BCAC-48BC165C9540}" type="presParOf" srcId="{F261ADC7-CBF5-4BA8-845A-6432EDC71245}" destId="{8645FF11-9FDA-440D-AC13-8AC2CE6B1CF5}" srcOrd="2" destOrd="0" presId="urn:microsoft.com/office/officeart/2005/8/layout/default#1"/>
    <dgm:cxn modelId="{E6A8DE23-4D42-482A-A974-53BDA243B608}" type="presParOf" srcId="{F261ADC7-CBF5-4BA8-845A-6432EDC71245}" destId="{426DF675-9C77-4F92-9618-9A9E256C382A}" srcOrd="3" destOrd="0" presId="urn:microsoft.com/office/officeart/2005/8/layout/default#1"/>
    <dgm:cxn modelId="{5AF202AB-D147-4BCB-B44C-E9E89B49D26A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2018году-13223,8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2019году-6696,5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2020году-5663,1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2018году-13289,6тыс.рублей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2019году-6762,2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2020году-5730,6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2018году-13293,8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2019году- 6766,5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2020году- 5735,1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896EE8-5C5F-4D84-BDA9-E9731056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2015-03-06T06:58:00Z</cp:lastPrinted>
  <dcterms:created xsi:type="dcterms:W3CDTF">2018-02-20T10:23:00Z</dcterms:created>
  <dcterms:modified xsi:type="dcterms:W3CDTF">2018-02-22T08:39:00Z</dcterms:modified>
</cp:coreProperties>
</file>